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22CA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Załącznik nr 1 do SWZ</w:t>
      </w:r>
    </w:p>
    <w:p w14:paraId="4248840C" w14:textId="77777777" w:rsidR="00372C08" w:rsidRPr="00F4000D" w:rsidRDefault="000B756A" w:rsidP="00F4000D">
      <w:pPr>
        <w:jc w:val="both"/>
        <w:rPr>
          <w:rFonts w:asciiTheme="majorHAnsi" w:hAnsiTheme="majorHAnsi" w:cstheme="majorHAnsi"/>
          <w:b/>
          <w:bCs/>
          <w:color w:val="000000" w:themeColor="text1"/>
          <w:sz w:val="24"/>
          <w:szCs w:val="24"/>
          <w:lang w:val="pl-PL"/>
        </w:rPr>
      </w:pPr>
      <w:r w:rsidRPr="00F4000D">
        <w:rPr>
          <w:rFonts w:asciiTheme="majorHAnsi" w:hAnsiTheme="majorHAnsi" w:cstheme="majorHAnsi"/>
          <w:b/>
          <w:bCs/>
          <w:color w:val="000000" w:themeColor="text1"/>
          <w:sz w:val="24"/>
          <w:szCs w:val="24"/>
          <w:lang w:val="pl-PL"/>
        </w:rPr>
        <w:t>OPIS PRZEDMIOTU ZAMÓWIENIA</w:t>
      </w:r>
    </w:p>
    <w:p w14:paraId="2C0F8C78" w14:textId="77777777" w:rsidR="00372C08" w:rsidRPr="00F4000D" w:rsidRDefault="00372C08" w:rsidP="00F4000D">
      <w:pPr>
        <w:jc w:val="both"/>
        <w:rPr>
          <w:rFonts w:asciiTheme="majorHAnsi" w:hAnsiTheme="majorHAnsi" w:cstheme="majorHAnsi"/>
          <w:color w:val="000000" w:themeColor="text1"/>
          <w:sz w:val="24"/>
          <w:szCs w:val="24"/>
          <w:lang w:val="pl-PL"/>
        </w:rPr>
      </w:pPr>
    </w:p>
    <w:p w14:paraId="6B8C9F99" w14:textId="77777777" w:rsidR="00372C08" w:rsidRPr="00F4000D" w:rsidRDefault="000B756A" w:rsidP="00F4000D">
      <w:pPr>
        <w:jc w:val="both"/>
        <w:rPr>
          <w:rFonts w:asciiTheme="majorHAnsi" w:hAnsiTheme="majorHAnsi" w:cstheme="majorHAnsi"/>
          <w:b/>
          <w:bCs/>
          <w:color w:val="000000" w:themeColor="text1"/>
          <w:sz w:val="24"/>
          <w:szCs w:val="24"/>
          <w:lang w:val="pl-PL"/>
        </w:rPr>
      </w:pPr>
      <w:r w:rsidRPr="00F4000D">
        <w:rPr>
          <w:rFonts w:asciiTheme="majorHAnsi" w:hAnsiTheme="majorHAnsi" w:cstheme="majorHAnsi"/>
          <w:b/>
          <w:bCs/>
          <w:color w:val="000000" w:themeColor="text1"/>
          <w:sz w:val="24"/>
          <w:szCs w:val="24"/>
          <w:lang w:val="pl-PL"/>
        </w:rPr>
        <w:t>NAZWA ZAMÓWIENIA:</w:t>
      </w:r>
    </w:p>
    <w:p w14:paraId="0CD39FC7" w14:textId="69D4A02B"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Dostawa materiałów edukacyjnych, pomocy dydaktycznych, sprzętu oraz oprogramowania </w:t>
      </w:r>
      <w:r w:rsidR="0021091B" w:rsidRPr="00F4000D">
        <w:rPr>
          <w:rFonts w:asciiTheme="majorHAnsi" w:hAnsiTheme="majorHAnsi" w:cstheme="majorHAnsi"/>
          <w:color w:val="000000" w:themeColor="text1"/>
          <w:sz w:val="24"/>
          <w:szCs w:val="24"/>
          <w:lang w:val="pl-PL"/>
        </w:rPr>
        <w:t xml:space="preserve">dla szkól I placówek oświatowych, dla których organem prowadzącym jest </w:t>
      </w:r>
      <w:r w:rsidR="0029725C">
        <w:rPr>
          <w:rFonts w:asciiTheme="majorHAnsi" w:hAnsiTheme="majorHAnsi" w:cstheme="majorHAnsi"/>
          <w:color w:val="000000" w:themeColor="text1"/>
          <w:sz w:val="24"/>
          <w:szCs w:val="24"/>
          <w:lang w:val="pl-PL"/>
        </w:rPr>
        <w:t>Gmina</w:t>
      </w:r>
      <w:r w:rsidR="0021091B" w:rsidRPr="00F4000D">
        <w:rPr>
          <w:rFonts w:asciiTheme="majorHAnsi" w:hAnsiTheme="majorHAnsi" w:cstheme="majorHAnsi"/>
          <w:color w:val="000000" w:themeColor="text1"/>
          <w:sz w:val="24"/>
          <w:szCs w:val="24"/>
          <w:lang w:val="pl-PL"/>
        </w:rPr>
        <w:t xml:space="preserve"> Świętochłowice</w:t>
      </w:r>
    </w:p>
    <w:p w14:paraId="2DA55E0D" w14:textId="55D7B799" w:rsidR="00372C08" w:rsidRPr="00F4000D" w:rsidRDefault="00372C08" w:rsidP="00F4000D">
      <w:pPr>
        <w:jc w:val="both"/>
        <w:rPr>
          <w:rFonts w:asciiTheme="majorHAnsi" w:hAnsiTheme="majorHAnsi" w:cstheme="majorHAnsi"/>
          <w:color w:val="000000" w:themeColor="text1"/>
          <w:sz w:val="24"/>
          <w:szCs w:val="24"/>
          <w:lang w:val="pl-PL"/>
        </w:rPr>
      </w:pPr>
    </w:p>
    <w:p w14:paraId="6DE76549" w14:textId="77777777" w:rsidR="0055541E" w:rsidRPr="00F4000D" w:rsidRDefault="0055541E" w:rsidP="00F4000D">
      <w:pPr>
        <w:spacing w:after="0" w:line="360" w:lineRule="auto"/>
        <w:ind w:right="62"/>
        <w:jc w:val="both"/>
        <w:rPr>
          <w:rFonts w:asciiTheme="majorHAnsi" w:hAnsiTheme="majorHAnsi" w:cstheme="majorHAnsi"/>
          <w:b/>
          <w:bCs/>
          <w:sz w:val="24"/>
          <w:szCs w:val="24"/>
          <w:u w:val="single"/>
          <w:lang w:val="pl-PL"/>
        </w:rPr>
      </w:pPr>
      <w:r w:rsidRPr="00F4000D">
        <w:rPr>
          <w:rFonts w:asciiTheme="majorHAnsi" w:hAnsiTheme="majorHAnsi" w:cstheme="majorHAnsi"/>
          <w:b/>
          <w:bCs/>
          <w:sz w:val="24"/>
          <w:szCs w:val="24"/>
          <w:u w:val="single"/>
          <w:lang w:val="pl-PL"/>
        </w:rPr>
        <w:t xml:space="preserve">ZAMAWIAJĄCY : </w:t>
      </w:r>
    </w:p>
    <w:p w14:paraId="612598E1" w14:textId="700888DF" w:rsidR="0055541E" w:rsidRPr="00F4000D" w:rsidRDefault="0055541E" w:rsidP="00CB1CC1">
      <w:pPr>
        <w:spacing w:after="0"/>
        <w:jc w:val="both"/>
        <w:rPr>
          <w:rFonts w:asciiTheme="majorHAnsi" w:hAnsiTheme="majorHAnsi" w:cstheme="majorHAnsi"/>
          <w:color w:val="000000"/>
          <w:sz w:val="24"/>
          <w:szCs w:val="24"/>
          <w:lang w:val="pl-PL"/>
        </w:rPr>
      </w:pPr>
      <w:r w:rsidRPr="00F4000D">
        <w:rPr>
          <w:rFonts w:asciiTheme="majorHAnsi" w:hAnsiTheme="majorHAnsi" w:cstheme="majorHAnsi"/>
          <w:color w:val="000000"/>
          <w:sz w:val="24"/>
          <w:szCs w:val="24"/>
          <w:lang w:val="pl-PL"/>
        </w:rPr>
        <w:t>Gmina Świętochłowice</w:t>
      </w:r>
      <w:r w:rsidR="005A0213">
        <w:rPr>
          <w:rFonts w:asciiTheme="majorHAnsi" w:hAnsiTheme="majorHAnsi" w:cstheme="majorHAnsi"/>
          <w:color w:val="000000"/>
          <w:sz w:val="24"/>
          <w:szCs w:val="24"/>
          <w:lang w:val="pl-PL"/>
        </w:rPr>
        <w:t xml:space="preserve"> – Miejski Zarząd Oświaty w Świętochłowicach </w:t>
      </w:r>
    </w:p>
    <w:p w14:paraId="7A66D736" w14:textId="3187D8CB" w:rsidR="0055541E" w:rsidRPr="00F4000D" w:rsidRDefault="0055541E" w:rsidP="00CB1CC1">
      <w:pPr>
        <w:spacing w:after="0"/>
        <w:jc w:val="both"/>
        <w:rPr>
          <w:rFonts w:asciiTheme="majorHAnsi" w:hAnsiTheme="majorHAnsi" w:cstheme="majorHAnsi"/>
          <w:color w:val="000000"/>
          <w:sz w:val="24"/>
          <w:szCs w:val="24"/>
          <w:lang w:val="pl-PL"/>
        </w:rPr>
      </w:pPr>
      <w:r w:rsidRPr="00F4000D">
        <w:rPr>
          <w:rFonts w:asciiTheme="majorHAnsi" w:hAnsiTheme="majorHAnsi" w:cstheme="majorHAnsi"/>
          <w:color w:val="000000"/>
          <w:sz w:val="24"/>
          <w:szCs w:val="24"/>
          <w:lang w:val="pl-PL"/>
        </w:rPr>
        <w:t xml:space="preserve">ul. </w:t>
      </w:r>
      <w:r w:rsidR="005A0213">
        <w:rPr>
          <w:rFonts w:asciiTheme="majorHAnsi" w:hAnsiTheme="majorHAnsi" w:cstheme="majorHAnsi"/>
          <w:color w:val="000000"/>
          <w:sz w:val="24"/>
          <w:szCs w:val="24"/>
          <w:lang w:val="pl-PL"/>
        </w:rPr>
        <w:t>Bytomska 8</w:t>
      </w:r>
    </w:p>
    <w:p w14:paraId="565B2CE6" w14:textId="77777777" w:rsidR="0055541E" w:rsidRPr="00F4000D" w:rsidRDefault="0055541E" w:rsidP="00CB1CC1">
      <w:pPr>
        <w:spacing w:after="0"/>
        <w:jc w:val="both"/>
        <w:rPr>
          <w:rFonts w:asciiTheme="majorHAnsi" w:hAnsiTheme="majorHAnsi" w:cstheme="majorHAnsi"/>
          <w:sz w:val="24"/>
          <w:szCs w:val="24"/>
          <w:lang w:val="pl-PL"/>
        </w:rPr>
      </w:pPr>
      <w:r w:rsidRPr="00F4000D">
        <w:rPr>
          <w:rFonts w:asciiTheme="majorHAnsi" w:hAnsiTheme="majorHAnsi" w:cstheme="majorHAnsi"/>
          <w:color w:val="000000"/>
          <w:sz w:val="24"/>
          <w:szCs w:val="24"/>
          <w:lang w:val="pl-PL"/>
        </w:rPr>
        <w:t>41-600 Świętochłowice</w:t>
      </w:r>
    </w:p>
    <w:p w14:paraId="2D6C9980" w14:textId="77777777" w:rsidR="00372C08" w:rsidRPr="00F4000D" w:rsidRDefault="000B756A" w:rsidP="00F4000D">
      <w:pPr>
        <w:pStyle w:val="Nagwek2"/>
        <w:jc w:val="both"/>
        <w:rPr>
          <w:rFonts w:cstheme="majorHAnsi"/>
          <w:b w:val="0"/>
          <w:bCs w:val="0"/>
          <w:color w:val="000000" w:themeColor="text1"/>
          <w:sz w:val="24"/>
          <w:szCs w:val="24"/>
          <w:lang w:val="pl-PL"/>
        </w:rPr>
      </w:pPr>
      <w:r w:rsidRPr="00F4000D">
        <w:rPr>
          <w:rFonts w:cstheme="majorHAnsi"/>
          <w:b w:val="0"/>
          <w:bCs w:val="0"/>
          <w:color w:val="000000" w:themeColor="text1"/>
          <w:sz w:val="24"/>
          <w:szCs w:val="24"/>
          <w:lang w:val="pl-PL"/>
        </w:rPr>
        <w:t>1. Przedmiot zamówienia</w:t>
      </w:r>
    </w:p>
    <w:p w14:paraId="3A49890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Przedmiotem zamówienia jest dostawa pomocy dydaktycznych, materiałów edukacyjnych, sprzętu oraz oprogramowania wyszczególnionych w zestawieniu asortymentowym stanowiącym część niniejszego OPZ.</w:t>
      </w:r>
    </w:p>
    <w:p w14:paraId="321AE75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Podane wymiary i ilości w opisach mają charakter orientacyjny:</w:t>
      </w:r>
    </w:p>
    <w:p w14:paraId="4D2938D0" w14:textId="77777777" w:rsidR="00372C08" w:rsidRPr="00F4000D" w:rsidRDefault="000B756A" w:rsidP="000D46BA">
      <w:pPr>
        <w:pStyle w:val="Listapunktowana"/>
        <w:numPr>
          <w:ilvl w:val="0"/>
          <w:numId w:val="0"/>
        </w:numPr>
        <w:ind w:left="360" w:hanging="360"/>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w przypadku wymiarów (np. wysokość, szerokość) – dopuszcza się tolerancję (+/- 10%).</w:t>
      </w:r>
    </w:p>
    <w:p w14:paraId="41755F5A" w14:textId="77777777" w:rsidR="00372C08" w:rsidRPr="00F4000D" w:rsidRDefault="000B756A" w:rsidP="000D46BA">
      <w:pPr>
        <w:pStyle w:val="Listapunktowana"/>
        <w:numPr>
          <w:ilvl w:val="0"/>
          <w:numId w:val="0"/>
        </w:numPr>
        <w:ind w:left="360" w:hanging="360"/>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w przypadku ilości sztuk/elementów – podano ilości minimalne; dopuszcza się dostawę zestawów zawierających większą liczbę elementów.</w:t>
      </w:r>
    </w:p>
    <w:p w14:paraId="4ED7C6BA"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Zamawiający dopuszcza oferowanie produktów równoważnych. Produkt równoważny musi zapewniać co najmniej te same funkcje dydaktyczne i użytkowe oraz nie gorsze parametry minimalne wynikające z opisów. Wykonawca na żądanie Zamawiającego zobowiązany jest wykazać równoważność.</w:t>
      </w:r>
    </w:p>
    <w:p w14:paraId="46EFAEE7" w14:textId="77777777" w:rsidR="00372C08" w:rsidRPr="00F4000D" w:rsidRDefault="000B756A" w:rsidP="00F4000D">
      <w:pPr>
        <w:pStyle w:val="Nagwek2"/>
        <w:jc w:val="both"/>
        <w:rPr>
          <w:rFonts w:cstheme="majorHAnsi"/>
          <w:b w:val="0"/>
          <w:bCs w:val="0"/>
          <w:color w:val="000000" w:themeColor="text1"/>
          <w:sz w:val="24"/>
          <w:szCs w:val="24"/>
          <w:lang w:val="pl-PL"/>
        </w:rPr>
      </w:pPr>
      <w:r w:rsidRPr="00F4000D">
        <w:rPr>
          <w:rFonts w:cstheme="majorHAnsi"/>
          <w:b w:val="0"/>
          <w:bCs w:val="0"/>
          <w:color w:val="000000" w:themeColor="text1"/>
          <w:sz w:val="24"/>
          <w:szCs w:val="24"/>
          <w:lang w:val="pl-PL"/>
        </w:rPr>
        <w:t>Część 1 pomoce dydaktyczne</w:t>
      </w:r>
    </w:p>
    <w:tbl>
      <w:tblPr>
        <w:tblStyle w:val="Tabela-Siatka"/>
        <w:tblW w:w="9656" w:type="dxa"/>
        <w:jc w:val="center"/>
        <w:tblLook w:val="04A0" w:firstRow="1" w:lastRow="0" w:firstColumn="1" w:lastColumn="0" w:noHBand="0" w:noVBand="1"/>
      </w:tblPr>
      <w:tblGrid>
        <w:gridCol w:w="780"/>
        <w:gridCol w:w="3115"/>
        <w:gridCol w:w="888"/>
        <w:gridCol w:w="4873"/>
      </w:tblGrid>
      <w:tr w:rsidR="0055541E" w:rsidRPr="00F4000D" w14:paraId="30C4799E" w14:textId="77777777" w:rsidTr="00F4000D">
        <w:trPr>
          <w:jc w:val="center"/>
        </w:trPr>
        <w:tc>
          <w:tcPr>
            <w:tcW w:w="780" w:type="dxa"/>
          </w:tcPr>
          <w:p w14:paraId="7415ABE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L.p.</w:t>
            </w:r>
          </w:p>
        </w:tc>
        <w:tc>
          <w:tcPr>
            <w:tcW w:w="3115" w:type="dxa"/>
          </w:tcPr>
          <w:p w14:paraId="7E6FE06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Nazwa produktu</w:t>
            </w:r>
          </w:p>
        </w:tc>
        <w:tc>
          <w:tcPr>
            <w:tcW w:w="888" w:type="dxa"/>
          </w:tcPr>
          <w:p w14:paraId="24FFDD0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Ilość</w:t>
            </w:r>
          </w:p>
        </w:tc>
        <w:tc>
          <w:tcPr>
            <w:tcW w:w="4873" w:type="dxa"/>
          </w:tcPr>
          <w:p w14:paraId="06CE3B45"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Opis / minimalne wymagania</w:t>
            </w:r>
          </w:p>
        </w:tc>
      </w:tr>
      <w:tr w:rsidR="0055541E" w:rsidRPr="00F4000D" w14:paraId="7C62E885" w14:textId="77777777" w:rsidTr="00F4000D">
        <w:trPr>
          <w:jc w:val="center"/>
        </w:trPr>
        <w:tc>
          <w:tcPr>
            <w:tcW w:w="780" w:type="dxa"/>
          </w:tcPr>
          <w:p w14:paraId="7C7A7B0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3115" w:type="dxa"/>
          </w:tcPr>
          <w:p w14:paraId="01CF03E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edukacyjny do tworzenia modeli brył geometrycznych (tzw. bryły szkieletowe)</w:t>
            </w:r>
          </w:p>
        </w:tc>
        <w:tc>
          <w:tcPr>
            <w:tcW w:w="888" w:type="dxa"/>
          </w:tcPr>
          <w:p w14:paraId="7DD5838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03234D8E" w14:textId="4057C0DC" w:rsidR="00372C08" w:rsidRPr="00F4000D" w:rsidRDefault="000B756A" w:rsidP="000D46BA">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do budowy szkieletów brył geometrycznych przeznaczon</w:t>
            </w:r>
            <w:r w:rsidR="000D46BA">
              <w:rPr>
                <w:rFonts w:asciiTheme="majorHAnsi" w:hAnsiTheme="majorHAnsi" w:cstheme="majorHAnsi"/>
                <w:color w:val="000000" w:themeColor="text1"/>
                <w:sz w:val="24"/>
                <w:szCs w:val="24"/>
                <w:lang w:val="pl-PL"/>
              </w:rPr>
              <w:t>y</w:t>
            </w:r>
            <w:r w:rsidRPr="00F4000D">
              <w:rPr>
                <w:rFonts w:asciiTheme="majorHAnsi" w:hAnsiTheme="majorHAnsi" w:cstheme="majorHAnsi"/>
                <w:color w:val="000000" w:themeColor="text1"/>
                <w:sz w:val="24"/>
                <w:szCs w:val="24"/>
                <w:lang w:val="pl-PL"/>
              </w:rPr>
              <w:t xml:space="preserve"> do zajęć szkolnych. Powin</w:t>
            </w:r>
            <w:r w:rsidR="000D46BA">
              <w:rPr>
                <w:rFonts w:asciiTheme="majorHAnsi" w:hAnsiTheme="majorHAnsi" w:cstheme="majorHAnsi"/>
                <w:color w:val="000000" w:themeColor="text1"/>
                <w:sz w:val="24"/>
                <w:szCs w:val="24"/>
                <w:lang w:val="pl-PL"/>
              </w:rPr>
              <w:t>ien</w:t>
            </w:r>
            <w:r w:rsidRPr="00F4000D">
              <w:rPr>
                <w:rFonts w:asciiTheme="majorHAnsi" w:hAnsiTheme="majorHAnsi" w:cstheme="majorHAnsi"/>
                <w:color w:val="000000" w:themeColor="text1"/>
                <w:sz w:val="24"/>
                <w:szCs w:val="24"/>
                <w:lang w:val="pl-PL"/>
              </w:rPr>
              <w:t xml:space="preserve"> umożliwiać konstruowanie podstawowych brył (m.in. sześcianu, prostopadłościanu, graniastosłupów oraz ostrosłupów) i innych prostych konstrukcji przestrzennych wykorzystywanych do </w:t>
            </w:r>
            <w:r w:rsidRPr="00F4000D">
              <w:rPr>
                <w:rFonts w:asciiTheme="majorHAnsi" w:hAnsiTheme="majorHAnsi" w:cstheme="majorHAnsi"/>
                <w:color w:val="000000" w:themeColor="text1"/>
                <w:sz w:val="24"/>
                <w:szCs w:val="24"/>
                <w:lang w:val="pl-PL"/>
              </w:rPr>
              <w:lastRenderedPageBreak/>
              <w:t>omawiania pojęć takich jak krawędź, wierzchołek, ściana czy objętość. Każdy zestaw powinien zawierać elementy łączące oraz elementy wydłużone w kilku długościach, umożliwiające wielokrotne składanie i rozkładanie modeli oraz tworzenie konstrukcji pod różnymi kątami; elementy powinny być wykonane z trwałych i bezpiecznych materiałów, odpowiednich dla uczniów od ok. 6 roku życia. Dopuszcza się dowolny system konstrukcyjny (np. kulki wielootworowe i pręty, złącza wielokierunkowe i rurki, systemy przegubowe itp.), o ile pozwala na budowę wymienionych brył i zachowuje pełną funkcjonalność dydaktyczną.</w:t>
            </w:r>
          </w:p>
        </w:tc>
      </w:tr>
      <w:tr w:rsidR="0055541E" w:rsidRPr="00F4000D" w14:paraId="750DB029" w14:textId="77777777" w:rsidTr="00F4000D">
        <w:trPr>
          <w:jc w:val="center"/>
        </w:trPr>
        <w:tc>
          <w:tcPr>
            <w:tcW w:w="780" w:type="dxa"/>
          </w:tcPr>
          <w:p w14:paraId="797F2F6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2</w:t>
            </w:r>
          </w:p>
        </w:tc>
        <w:tc>
          <w:tcPr>
            <w:tcW w:w="3115" w:type="dxa"/>
          </w:tcPr>
          <w:p w14:paraId="1F4A613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Gra matematyczna</w:t>
            </w:r>
          </w:p>
        </w:tc>
        <w:tc>
          <w:tcPr>
            <w:tcW w:w="888" w:type="dxa"/>
          </w:tcPr>
          <w:p w14:paraId="037FD93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5</w:t>
            </w:r>
          </w:p>
        </w:tc>
        <w:tc>
          <w:tcPr>
            <w:tcW w:w="4873" w:type="dxa"/>
          </w:tcPr>
          <w:p w14:paraId="5ABBE359" w14:textId="5643EE75" w:rsidR="00372C08" w:rsidRPr="00F4000D" w:rsidRDefault="000D46BA" w:rsidP="005A0213">
            <w:pPr>
              <w:rPr>
                <w:rFonts w:asciiTheme="majorHAnsi" w:hAnsiTheme="majorHAnsi" w:cstheme="majorHAnsi"/>
                <w:color w:val="000000" w:themeColor="text1"/>
                <w:sz w:val="24"/>
                <w:szCs w:val="24"/>
                <w:lang w:val="pl-PL"/>
              </w:rPr>
            </w:pPr>
            <w:r>
              <w:rPr>
                <w:rFonts w:asciiTheme="majorHAnsi" w:hAnsiTheme="majorHAnsi" w:cstheme="majorHAnsi"/>
                <w:color w:val="000000" w:themeColor="text1"/>
                <w:sz w:val="24"/>
                <w:szCs w:val="24"/>
                <w:lang w:val="pl-PL"/>
              </w:rPr>
              <w:t>Z</w:t>
            </w:r>
            <w:r w:rsidR="000B756A" w:rsidRPr="00F4000D">
              <w:rPr>
                <w:rFonts w:asciiTheme="majorHAnsi" w:hAnsiTheme="majorHAnsi" w:cstheme="majorHAnsi"/>
                <w:color w:val="000000" w:themeColor="text1"/>
                <w:sz w:val="24"/>
                <w:szCs w:val="24"/>
                <w:lang w:val="pl-PL"/>
              </w:rPr>
              <w:t>estaw edukacyjny do rozwijania i utrwalania podstawowych pojęć matematycznych poprzez krótkie, angażujące ćwiczenia. Zawiera karty dydaktyczne z ilustracjami po jednej stronie i pytaniami sprawdzającymi pamięć, spostrzegawczość oraz wiedzę matematyczną po drugiej; elementem zestawu jest także prosty mechanizm losowania i pomiaru czasu (np. kostka, klepsydra) wspierający pracę w grupie oraz indywidualną naukę. Zestaw powinien umożliwiać ćwiczenie zagadnień takich jak: tabliczka mnożenia, działania pisemne, ułamki, objętość, figury geometryczne oraz podstawowe pojęcia arytmetyczne; powinien być przeznaczony dla uczniów szkolnych (ok. 8+). Produkt równoważny musi oferować zestaw kart z pytaniami oraz mechanizm gry edukacyjnej oparty na zapamiętywaniu i odtwarzaniu informacji.</w:t>
            </w:r>
          </w:p>
        </w:tc>
      </w:tr>
      <w:tr w:rsidR="0055541E" w:rsidRPr="00F4000D" w14:paraId="7D9B6582" w14:textId="77777777" w:rsidTr="00F4000D">
        <w:trPr>
          <w:jc w:val="center"/>
        </w:trPr>
        <w:tc>
          <w:tcPr>
            <w:tcW w:w="780" w:type="dxa"/>
          </w:tcPr>
          <w:p w14:paraId="292C052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w:t>
            </w:r>
          </w:p>
        </w:tc>
        <w:tc>
          <w:tcPr>
            <w:tcW w:w="3115" w:type="dxa"/>
          </w:tcPr>
          <w:p w14:paraId="18CDED4E"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kart edukacyjnych do nauki matematyki – wariant podstawowy</w:t>
            </w:r>
          </w:p>
        </w:tc>
        <w:tc>
          <w:tcPr>
            <w:tcW w:w="888" w:type="dxa"/>
          </w:tcPr>
          <w:p w14:paraId="2F1577C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65A171E6"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edukacyjny do nauki i utrwalania umiejętności matematycznych poprzez gry i zabawy. Powinien zawierać cztery zestawy kart matematycznych obejmujących: ćwiczenie tabliczki mnożenia (gry umożliwiające szybkie opanowanie mnożenia przez zabawę), dodawanie i odejmowanie (materiały wspierające płynne wykonywanie działań w pamięci), gry logiczne (zadania rozwijające </w:t>
            </w:r>
            <w:r w:rsidRPr="00F4000D">
              <w:rPr>
                <w:rFonts w:asciiTheme="majorHAnsi" w:hAnsiTheme="majorHAnsi" w:cstheme="majorHAnsi"/>
                <w:color w:val="000000" w:themeColor="text1"/>
                <w:sz w:val="24"/>
                <w:szCs w:val="24"/>
                <w:lang w:val="pl-PL"/>
              </w:rPr>
              <w:lastRenderedPageBreak/>
              <w:t>logiczne myślenie, orientację, strategie i podstawy liczenia; zestawy mogą zawierać dodatkowe rekwizyty typu piony, patyczki, kostka), oraz ułamki (materiały do poznawania i porównywania ułamków, ich rozszerzania, skracania oraz wykonywania działań). Zestaw powinien umożliwiać realizację nauki matematyki poprzez krótkie, angażujące gry, a karty powinny być opatrzone propozycjami różnorodnych zadań i sposobów pracy. Produkt równoważny musi zapewniać zestaw kart wraz z instrukcjami gier rozwijających: sprawność rachunkową, logiczne myślenie, rozumienie ułamków oraz działania arytmetyczne.</w:t>
            </w:r>
          </w:p>
        </w:tc>
      </w:tr>
      <w:tr w:rsidR="0055541E" w:rsidRPr="00F4000D" w14:paraId="6E69A8E5" w14:textId="77777777" w:rsidTr="00F4000D">
        <w:trPr>
          <w:jc w:val="center"/>
        </w:trPr>
        <w:tc>
          <w:tcPr>
            <w:tcW w:w="780" w:type="dxa"/>
          </w:tcPr>
          <w:p w14:paraId="4D922E1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4</w:t>
            </w:r>
          </w:p>
        </w:tc>
        <w:tc>
          <w:tcPr>
            <w:tcW w:w="3115" w:type="dxa"/>
          </w:tcPr>
          <w:p w14:paraId="7BFE86DC"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Domino dodawanie ułamków zwykłych</w:t>
            </w:r>
          </w:p>
        </w:tc>
        <w:tc>
          <w:tcPr>
            <w:tcW w:w="888" w:type="dxa"/>
          </w:tcPr>
          <w:p w14:paraId="6E889EB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w:t>
            </w:r>
          </w:p>
        </w:tc>
        <w:tc>
          <w:tcPr>
            <w:tcW w:w="4873" w:type="dxa"/>
          </w:tcPr>
          <w:p w14:paraId="0A3D581B" w14:textId="6E6D6610"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dydaktyczny w formie gry typu domino, przeznaczony do ćwiczenia i utrwalania umiejętności dodawania ułamków zwykłych.</w:t>
            </w:r>
            <w:r w:rsidRPr="00F4000D">
              <w:rPr>
                <w:rFonts w:asciiTheme="majorHAnsi" w:hAnsiTheme="majorHAnsi" w:cstheme="majorHAnsi"/>
                <w:color w:val="000000" w:themeColor="text1"/>
                <w:sz w:val="24"/>
                <w:szCs w:val="24"/>
                <w:lang w:val="pl-PL"/>
              </w:rPr>
              <w:br/>
              <w:t>Zestaw składa się z co</w:t>
            </w:r>
            <w:r w:rsidR="000D46BA">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najmniej 24 płytek wykonanych z trwałego materiału, z nadrukiem odpornym na ścieranie.</w:t>
            </w:r>
            <w:r w:rsidRPr="00F4000D">
              <w:rPr>
                <w:rFonts w:asciiTheme="majorHAnsi" w:hAnsiTheme="majorHAnsi" w:cstheme="majorHAnsi"/>
                <w:color w:val="000000" w:themeColor="text1"/>
                <w:sz w:val="24"/>
                <w:szCs w:val="24"/>
                <w:lang w:val="pl-PL"/>
              </w:rPr>
              <w:br/>
              <w:t>Elementy o wymiarach ok. 8 × 4 cm</w:t>
            </w:r>
            <w:r w:rsidR="000D46BA">
              <w:rPr>
                <w:rFonts w:asciiTheme="majorHAnsi" w:hAnsiTheme="majorHAnsi" w:cstheme="majorHAnsi"/>
                <w:color w:val="000000" w:themeColor="text1"/>
                <w:sz w:val="24"/>
                <w:szCs w:val="24"/>
                <w:lang w:val="pl-PL"/>
              </w:rPr>
              <w:t>.</w:t>
            </w:r>
          </w:p>
        </w:tc>
      </w:tr>
      <w:tr w:rsidR="0055541E" w:rsidRPr="00F4000D" w14:paraId="07C0118E" w14:textId="77777777" w:rsidTr="00F4000D">
        <w:trPr>
          <w:jc w:val="center"/>
        </w:trPr>
        <w:tc>
          <w:tcPr>
            <w:tcW w:w="780" w:type="dxa"/>
          </w:tcPr>
          <w:p w14:paraId="66815605"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5</w:t>
            </w:r>
          </w:p>
        </w:tc>
        <w:tc>
          <w:tcPr>
            <w:tcW w:w="3115" w:type="dxa"/>
          </w:tcPr>
          <w:p w14:paraId="0ACDEF30"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Domino dwustronne tęczowe ułamki</w:t>
            </w:r>
          </w:p>
        </w:tc>
        <w:tc>
          <w:tcPr>
            <w:tcW w:w="888" w:type="dxa"/>
          </w:tcPr>
          <w:p w14:paraId="195DB11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w:t>
            </w:r>
          </w:p>
        </w:tc>
        <w:tc>
          <w:tcPr>
            <w:tcW w:w="4873" w:type="dxa"/>
          </w:tcPr>
          <w:p w14:paraId="3A5FC973" w14:textId="440CF3BD"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edukacyjny typu domino do nauki ułamków zwykłych, przeznaczony do ćwiczenia rozpoznawania, porównywania i dopasowywania ułamków.</w:t>
            </w:r>
            <w:r w:rsidRPr="00F4000D">
              <w:rPr>
                <w:rFonts w:asciiTheme="majorHAnsi" w:hAnsiTheme="majorHAnsi" w:cstheme="majorHAnsi"/>
                <w:color w:val="000000" w:themeColor="text1"/>
                <w:sz w:val="24"/>
                <w:szCs w:val="24"/>
                <w:lang w:val="pl-PL"/>
              </w:rPr>
              <w:br/>
              <w:t xml:space="preserve">Każdy element domino powinien zawierać zapis ułamka oraz jego graficzne przedstawienie, np. wizualizację części koła lub prostokąta — takie rozwiązanie jest stosowane w dostępnych na rynku zestawach domina z ułamkami. </w:t>
            </w:r>
            <w:r w:rsidRPr="00F4000D">
              <w:rPr>
                <w:rFonts w:asciiTheme="majorHAnsi" w:hAnsiTheme="majorHAnsi" w:cstheme="majorHAnsi"/>
                <w:color w:val="000000" w:themeColor="text1"/>
                <w:sz w:val="24"/>
                <w:szCs w:val="24"/>
                <w:lang w:val="pl-PL"/>
              </w:rPr>
              <w:br/>
              <w:t xml:space="preserve">Domino powinno umożliwiać dwie formy przedstawiania informacji: zapis symboliczny oraz ekwiwalent graficzny, co wspiera zrozumienie wartości ułamków. </w:t>
            </w:r>
            <w:r w:rsidRPr="00F4000D">
              <w:rPr>
                <w:rFonts w:asciiTheme="majorHAnsi" w:hAnsiTheme="majorHAnsi" w:cstheme="majorHAnsi"/>
                <w:color w:val="000000" w:themeColor="text1"/>
                <w:sz w:val="24"/>
                <w:szCs w:val="24"/>
                <w:lang w:val="pl-PL"/>
              </w:rPr>
              <w:br/>
              <w:t>Gra powinna pozwalać na tworzenie ciągów domina poprzez dopasowywanie równoważnych wartości ułamków, wspierając naukę porównywania części całości.</w:t>
            </w:r>
            <w:r w:rsidRPr="00F4000D">
              <w:rPr>
                <w:rFonts w:asciiTheme="majorHAnsi" w:hAnsiTheme="majorHAnsi" w:cstheme="majorHAnsi"/>
                <w:color w:val="000000" w:themeColor="text1"/>
                <w:sz w:val="24"/>
                <w:szCs w:val="24"/>
                <w:lang w:val="pl-PL"/>
              </w:rPr>
              <w:br/>
              <w:t>Przeznaczone dla co najmniej dwóch graczy, do wykorzystania na lekcjach, zajęciach dodatkowych i w warunkach domowych; na rynku dostępne zestawy wskazują grupę 2–4 graczy.</w:t>
            </w:r>
            <w:r w:rsidRPr="00F4000D">
              <w:rPr>
                <w:rFonts w:asciiTheme="majorHAnsi" w:hAnsiTheme="majorHAnsi" w:cstheme="majorHAnsi"/>
                <w:color w:val="000000" w:themeColor="text1"/>
                <w:sz w:val="24"/>
                <w:szCs w:val="24"/>
                <w:lang w:val="pl-PL"/>
              </w:rPr>
              <w:br/>
              <w:t xml:space="preserve">Odpowiednie dla dzieci od wieku szkolnego, </w:t>
            </w:r>
            <w:r w:rsidRPr="00F4000D">
              <w:rPr>
                <w:rFonts w:asciiTheme="majorHAnsi" w:hAnsiTheme="majorHAnsi" w:cstheme="majorHAnsi"/>
                <w:color w:val="000000" w:themeColor="text1"/>
                <w:sz w:val="24"/>
                <w:szCs w:val="24"/>
                <w:lang w:val="pl-PL"/>
              </w:rPr>
              <w:lastRenderedPageBreak/>
              <w:t>typowo od około 6 lat, zgodnie z przeznaczeniem rynkowych materiałów dydaktycznych dotyczących ułamków.</w:t>
            </w:r>
            <w:r w:rsidRPr="00F4000D">
              <w:rPr>
                <w:rFonts w:asciiTheme="majorHAnsi" w:hAnsiTheme="majorHAnsi" w:cstheme="majorHAnsi"/>
                <w:color w:val="000000" w:themeColor="text1"/>
                <w:sz w:val="24"/>
                <w:szCs w:val="24"/>
                <w:lang w:val="pl-PL"/>
              </w:rPr>
              <w:br/>
              <w:t>Elementy powinny być wykonane z trwałego materiału, umożliwiającego wielokrotne użycie i zachowanie czytelności nadruków.</w:t>
            </w:r>
            <w:r w:rsidRPr="00F4000D">
              <w:rPr>
                <w:rFonts w:asciiTheme="majorHAnsi" w:hAnsiTheme="majorHAnsi" w:cstheme="majorHAnsi"/>
                <w:color w:val="000000" w:themeColor="text1"/>
                <w:sz w:val="24"/>
                <w:szCs w:val="24"/>
                <w:lang w:val="pl-PL"/>
              </w:rPr>
              <w:br/>
              <w:t>Produkt równoważny powinien zapewniać:</w:t>
            </w:r>
            <w:r w:rsidRPr="00F4000D">
              <w:rPr>
                <w:rFonts w:asciiTheme="majorHAnsi" w:hAnsiTheme="majorHAnsi" w:cstheme="majorHAnsi"/>
                <w:color w:val="000000" w:themeColor="text1"/>
                <w:sz w:val="24"/>
                <w:szCs w:val="24"/>
                <w:lang w:val="pl-PL"/>
              </w:rPr>
              <w:br/>
              <w:t>przedstawienie ułamków w formie liczbowej i graficznej,</w:t>
            </w:r>
            <w:r w:rsidR="00F4000D">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możliwość</w:t>
            </w:r>
            <w:r w:rsidR="00F4000D">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dopasowywania elementów w mechanice gry typu domino,</w:t>
            </w:r>
            <w:r w:rsidRPr="00F4000D">
              <w:rPr>
                <w:rFonts w:asciiTheme="majorHAnsi" w:hAnsiTheme="majorHAnsi" w:cstheme="majorHAnsi"/>
                <w:color w:val="000000" w:themeColor="text1"/>
                <w:sz w:val="24"/>
                <w:szCs w:val="24"/>
                <w:lang w:val="pl-PL"/>
              </w:rPr>
              <w:br/>
              <w:t>wykorzystanie w edukacji matematycznej do nauki ułamków i porównywania ich wartości.</w:t>
            </w:r>
          </w:p>
        </w:tc>
      </w:tr>
      <w:tr w:rsidR="0055541E" w:rsidRPr="00F4000D" w14:paraId="1ACF019A" w14:textId="77777777" w:rsidTr="00F4000D">
        <w:trPr>
          <w:jc w:val="center"/>
        </w:trPr>
        <w:tc>
          <w:tcPr>
            <w:tcW w:w="780" w:type="dxa"/>
          </w:tcPr>
          <w:p w14:paraId="6E6E20B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6</w:t>
            </w:r>
          </w:p>
        </w:tc>
        <w:tc>
          <w:tcPr>
            <w:tcW w:w="3115" w:type="dxa"/>
          </w:tcPr>
          <w:p w14:paraId="11EA0C29" w14:textId="77777777" w:rsidR="00372C08" w:rsidRPr="00F4000D" w:rsidRDefault="000B756A" w:rsidP="000D46BA">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Domino matematyczne dzielenie</w:t>
            </w:r>
          </w:p>
        </w:tc>
        <w:tc>
          <w:tcPr>
            <w:tcW w:w="888" w:type="dxa"/>
          </w:tcPr>
          <w:p w14:paraId="5AE1482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0F99D00B" w14:textId="0F8A9E84"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Gra edukacyjna typu domino matematyczne, przeznaczona do nauki i utrwalania działań z dzielenia.</w:t>
            </w:r>
            <w:r w:rsidRPr="00F4000D">
              <w:rPr>
                <w:rFonts w:asciiTheme="majorHAnsi" w:hAnsiTheme="majorHAnsi" w:cstheme="majorHAnsi"/>
                <w:color w:val="000000" w:themeColor="text1"/>
                <w:sz w:val="24"/>
                <w:szCs w:val="24"/>
                <w:lang w:val="pl-PL"/>
              </w:rPr>
              <w:br/>
              <w:t>Każdy element domino powinien przedstawiać działanie z dzielenia oraz odpowiadający mu wynik, co pozwala łączyć elementy w logiczny ciąg. (Takie rozwiązania stosowane są w zestawach dostępnych na rynku)</w:t>
            </w:r>
            <w:r w:rsidRPr="00F4000D">
              <w:rPr>
                <w:rFonts w:asciiTheme="majorHAnsi" w:hAnsiTheme="majorHAnsi" w:cstheme="majorHAnsi"/>
                <w:color w:val="000000" w:themeColor="text1"/>
                <w:sz w:val="24"/>
                <w:szCs w:val="24"/>
                <w:lang w:val="pl-PL"/>
              </w:rPr>
              <w:br/>
              <w:t xml:space="preserve">Zakres działań: dzielenie liczb naturalnych, typowo w zakresie podstawowej tabliczki dzielenia (np. dzielenie do 10); równoważne zestawy również obejmują podstawowe działania arytmetyczne z dzielenia. </w:t>
            </w:r>
            <w:r w:rsidRPr="00F4000D">
              <w:rPr>
                <w:rFonts w:asciiTheme="majorHAnsi" w:hAnsiTheme="majorHAnsi" w:cstheme="majorHAnsi"/>
                <w:color w:val="000000" w:themeColor="text1"/>
                <w:sz w:val="24"/>
                <w:szCs w:val="24"/>
                <w:lang w:val="pl-PL"/>
              </w:rPr>
              <w:br/>
              <w:t>Gra powinna umożliwiać:</w:t>
            </w:r>
            <w:r w:rsidR="00F4000D">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ćwiczenie pamięciowego opanowania dzielenia,</w:t>
            </w:r>
            <w:r w:rsidRPr="00F4000D">
              <w:rPr>
                <w:rFonts w:asciiTheme="majorHAnsi" w:hAnsiTheme="majorHAnsi" w:cstheme="majorHAnsi"/>
                <w:color w:val="000000" w:themeColor="text1"/>
                <w:sz w:val="24"/>
                <w:szCs w:val="24"/>
                <w:lang w:val="pl-PL"/>
              </w:rPr>
              <w:br/>
              <w:t>rozpoznawanie wyników,</w:t>
            </w:r>
            <w:r w:rsidR="00F4000D">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budowanie sekwencji działania–wynik zgodnie z zasadami gry typu domino.</w:t>
            </w:r>
            <w:r w:rsidRPr="00F4000D">
              <w:rPr>
                <w:rFonts w:asciiTheme="majorHAnsi" w:hAnsiTheme="majorHAnsi" w:cstheme="majorHAnsi"/>
                <w:color w:val="000000" w:themeColor="text1"/>
                <w:sz w:val="24"/>
                <w:szCs w:val="24"/>
                <w:lang w:val="pl-PL"/>
              </w:rPr>
              <w:br/>
              <w:t>Zestaw powinien nadawać się do pracy w parach lub małych grupach, co odpowiada praktyce stosowania podobnych gier edukacyjnych.</w:t>
            </w:r>
          </w:p>
        </w:tc>
      </w:tr>
      <w:tr w:rsidR="0055541E" w:rsidRPr="00F4000D" w14:paraId="1C3D1DE7" w14:textId="77777777" w:rsidTr="00F4000D">
        <w:trPr>
          <w:jc w:val="center"/>
        </w:trPr>
        <w:tc>
          <w:tcPr>
            <w:tcW w:w="780" w:type="dxa"/>
          </w:tcPr>
          <w:p w14:paraId="127D2EF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7</w:t>
            </w:r>
          </w:p>
        </w:tc>
        <w:tc>
          <w:tcPr>
            <w:tcW w:w="3115" w:type="dxa"/>
          </w:tcPr>
          <w:p w14:paraId="678062A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Sześciany 1G/1 cm ze złączami 10 kolorów, 1000 sztuk</w:t>
            </w:r>
          </w:p>
        </w:tc>
        <w:tc>
          <w:tcPr>
            <w:tcW w:w="888" w:type="dxa"/>
          </w:tcPr>
          <w:p w14:paraId="4356344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14114CC3" w14:textId="11526DEC" w:rsidR="00F4000D" w:rsidRDefault="000D46BA" w:rsidP="005A0213">
            <w:pPr>
              <w:rPr>
                <w:rFonts w:asciiTheme="majorHAnsi" w:hAnsiTheme="majorHAnsi" w:cstheme="majorHAnsi"/>
                <w:color w:val="000000" w:themeColor="text1"/>
                <w:sz w:val="24"/>
                <w:szCs w:val="24"/>
                <w:lang w:val="pl-PL"/>
              </w:rPr>
            </w:pPr>
            <w:r>
              <w:rPr>
                <w:rFonts w:asciiTheme="majorHAnsi" w:hAnsiTheme="majorHAnsi" w:cstheme="majorHAnsi"/>
                <w:color w:val="000000" w:themeColor="text1"/>
                <w:sz w:val="24"/>
                <w:szCs w:val="24"/>
                <w:lang w:val="pl-PL"/>
              </w:rPr>
              <w:t>Z</w:t>
            </w:r>
            <w:r w:rsidR="000B756A" w:rsidRPr="00F4000D">
              <w:rPr>
                <w:rFonts w:asciiTheme="majorHAnsi" w:hAnsiTheme="majorHAnsi" w:cstheme="majorHAnsi"/>
                <w:color w:val="000000" w:themeColor="text1"/>
                <w:sz w:val="24"/>
                <w:szCs w:val="24"/>
                <w:lang w:val="pl-PL"/>
              </w:rPr>
              <w:t>estaw ma składać się z wielokolorowych sześcianów edukacyjnych o wymiarach pojedynczego elementu zbliżonych do 1 cm x 1 cm x 1 cm</w:t>
            </w:r>
            <w:r w:rsidR="00F4000D">
              <w:rPr>
                <w:rFonts w:asciiTheme="majorHAnsi" w:hAnsiTheme="majorHAnsi" w:cstheme="majorHAnsi"/>
                <w:color w:val="000000" w:themeColor="text1"/>
                <w:sz w:val="24"/>
                <w:szCs w:val="24"/>
                <w:lang w:val="pl-PL"/>
              </w:rPr>
              <w:t xml:space="preserve"> </w:t>
            </w:r>
            <w:r w:rsidR="000B756A" w:rsidRPr="00F4000D">
              <w:rPr>
                <w:rFonts w:asciiTheme="majorHAnsi" w:hAnsiTheme="majorHAnsi" w:cstheme="majorHAnsi"/>
                <w:color w:val="000000" w:themeColor="text1"/>
                <w:sz w:val="24"/>
                <w:szCs w:val="24"/>
                <w:lang w:val="pl-PL"/>
              </w:rPr>
              <w:t>(takie parametry występują w wielu zestawach rynkowych) Każdy sześcian musi umożliwiać mechaniczne łączenie z innymi sześcianami (np. sczepianie, zaczepianie, łączenie modularne) pozwalające tworzyć modele dwuwymiarowe i trójwymiarowe.</w:t>
            </w:r>
            <w:r w:rsidR="000B756A" w:rsidRPr="00F4000D">
              <w:rPr>
                <w:rFonts w:asciiTheme="majorHAnsi" w:hAnsiTheme="majorHAnsi" w:cstheme="majorHAnsi"/>
                <w:color w:val="000000" w:themeColor="text1"/>
                <w:sz w:val="24"/>
                <w:szCs w:val="24"/>
                <w:lang w:val="pl-PL"/>
              </w:rPr>
              <w:br/>
              <w:t xml:space="preserve">(Rozwiązanie to jest standardem w zestawach </w:t>
            </w:r>
            <w:r w:rsidR="000B756A" w:rsidRPr="00F4000D">
              <w:rPr>
                <w:rFonts w:asciiTheme="majorHAnsi" w:hAnsiTheme="majorHAnsi" w:cstheme="majorHAnsi"/>
                <w:color w:val="000000" w:themeColor="text1"/>
                <w:sz w:val="24"/>
                <w:szCs w:val="24"/>
                <w:lang w:val="pl-PL"/>
              </w:rPr>
              <w:lastRenderedPageBreak/>
              <w:t xml:space="preserve">„sześcianów </w:t>
            </w:r>
            <w:proofErr w:type="spellStart"/>
            <w:r w:rsidR="000B756A" w:rsidRPr="00F4000D">
              <w:rPr>
                <w:rFonts w:asciiTheme="majorHAnsi" w:hAnsiTheme="majorHAnsi" w:cstheme="majorHAnsi"/>
                <w:color w:val="000000" w:themeColor="text1"/>
                <w:sz w:val="24"/>
                <w:szCs w:val="24"/>
                <w:lang w:val="pl-PL"/>
              </w:rPr>
              <w:t>sczepialnych</w:t>
            </w:r>
            <w:proofErr w:type="spellEnd"/>
            <w:r w:rsidR="000B756A" w:rsidRPr="00F4000D">
              <w:rPr>
                <w:rFonts w:asciiTheme="majorHAnsi" w:hAnsiTheme="majorHAnsi" w:cstheme="majorHAnsi"/>
                <w:color w:val="000000" w:themeColor="text1"/>
                <w:sz w:val="24"/>
                <w:szCs w:val="24"/>
                <w:lang w:val="pl-PL"/>
              </w:rPr>
              <w:t>”)</w:t>
            </w:r>
            <w:r>
              <w:rPr>
                <w:rFonts w:asciiTheme="majorHAnsi" w:hAnsiTheme="majorHAnsi" w:cstheme="majorHAnsi"/>
                <w:color w:val="000000" w:themeColor="text1"/>
                <w:sz w:val="24"/>
                <w:szCs w:val="24"/>
                <w:lang w:val="pl-PL"/>
              </w:rPr>
              <w:t xml:space="preserve">. </w:t>
            </w:r>
            <w:r w:rsidR="000B756A" w:rsidRPr="00F4000D">
              <w:rPr>
                <w:rFonts w:asciiTheme="majorHAnsi" w:hAnsiTheme="majorHAnsi" w:cstheme="majorHAnsi"/>
                <w:color w:val="000000" w:themeColor="text1"/>
                <w:sz w:val="24"/>
                <w:szCs w:val="24"/>
                <w:lang w:val="pl-PL"/>
              </w:rPr>
              <w:t xml:space="preserve">Sześciany muszą być dostępne w wielu kolorach, umożliwiających sortowanie, klasyfikację i budowanie wzorów. </w:t>
            </w:r>
          </w:p>
          <w:p w14:paraId="1EECCEBC" w14:textId="77777777" w:rsid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Masa pojedynczego elementu powinna być zbliżona do 1 g, aby możliwe było używanie kostek jako jednostek porównawczych (odważników dydaktycznych). </w:t>
            </w:r>
          </w:p>
          <w:p w14:paraId="596EAF99" w14:textId="77777777" w:rsid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Materiał wykonania: tworzywo trwałe, odporne na wielokrotne użytkowanie, bezpieczne dla dzieci (brak ostrych krawędzi).</w:t>
            </w:r>
          </w:p>
          <w:p w14:paraId="5D1F7E4C" w14:textId="267463A8"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musi nadawać się do:</w:t>
            </w:r>
            <w:r w:rsidRPr="00F4000D">
              <w:rPr>
                <w:rFonts w:asciiTheme="majorHAnsi" w:hAnsiTheme="majorHAnsi" w:cstheme="majorHAnsi"/>
                <w:color w:val="000000" w:themeColor="text1"/>
                <w:sz w:val="24"/>
                <w:szCs w:val="24"/>
                <w:lang w:val="pl-PL"/>
              </w:rPr>
              <w:br/>
              <w:t>liczenia i przeliczania,</w:t>
            </w:r>
            <w:r w:rsidR="00F4000D">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budowania modeli liczbowych, ciągów i rytmów,</w:t>
            </w:r>
            <w:r w:rsidRPr="00F4000D">
              <w:rPr>
                <w:rFonts w:asciiTheme="majorHAnsi" w:hAnsiTheme="majorHAnsi" w:cstheme="majorHAnsi"/>
                <w:color w:val="000000" w:themeColor="text1"/>
                <w:sz w:val="24"/>
                <w:szCs w:val="24"/>
                <w:lang w:val="pl-PL"/>
              </w:rPr>
              <w:br/>
              <w:t>sortowania i klasyfikacji,</w:t>
            </w:r>
            <w:r w:rsidR="00F4000D">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wykonywania prostych działań arytmetycznych,</w:t>
            </w:r>
            <w:r w:rsidR="00F4000D">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budowania prostych konstrukcji przestrzennych.</w:t>
            </w:r>
          </w:p>
        </w:tc>
      </w:tr>
      <w:tr w:rsidR="0055541E" w:rsidRPr="00F4000D" w14:paraId="308FBC51" w14:textId="77777777" w:rsidTr="00F4000D">
        <w:trPr>
          <w:jc w:val="center"/>
        </w:trPr>
        <w:tc>
          <w:tcPr>
            <w:tcW w:w="780" w:type="dxa"/>
          </w:tcPr>
          <w:p w14:paraId="6FB0D6C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8</w:t>
            </w:r>
          </w:p>
        </w:tc>
        <w:tc>
          <w:tcPr>
            <w:tcW w:w="3115" w:type="dxa"/>
          </w:tcPr>
          <w:p w14:paraId="6E2D2C92" w14:textId="77777777" w:rsidR="00372C08" w:rsidRPr="00F4000D" w:rsidRDefault="000B756A" w:rsidP="00F4000D">
            <w:pPr>
              <w:jc w:val="both"/>
              <w:rPr>
                <w:rFonts w:asciiTheme="majorHAnsi" w:hAnsiTheme="majorHAnsi" w:cstheme="majorHAnsi"/>
                <w:color w:val="000000" w:themeColor="text1"/>
                <w:sz w:val="24"/>
                <w:szCs w:val="24"/>
                <w:lang w:val="pl-PL"/>
              </w:rPr>
            </w:pPr>
            <w:proofErr w:type="spellStart"/>
            <w:r w:rsidRPr="00F4000D">
              <w:rPr>
                <w:rFonts w:asciiTheme="majorHAnsi" w:hAnsiTheme="majorHAnsi" w:cstheme="majorHAnsi"/>
                <w:color w:val="000000" w:themeColor="text1"/>
                <w:sz w:val="24"/>
                <w:szCs w:val="24"/>
                <w:lang w:val="pl-PL"/>
              </w:rPr>
              <w:t>Geoplan</w:t>
            </w:r>
            <w:proofErr w:type="spellEnd"/>
            <w:r w:rsidRPr="00F4000D">
              <w:rPr>
                <w:rFonts w:asciiTheme="majorHAnsi" w:hAnsiTheme="majorHAnsi" w:cstheme="majorHAnsi"/>
                <w:color w:val="000000" w:themeColor="text1"/>
                <w:sz w:val="24"/>
                <w:szCs w:val="24"/>
                <w:lang w:val="pl-PL"/>
              </w:rPr>
              <w:t xml:space="preserve"> prostokątny</w:t>
            </w:r>
          </w:p>
        </w:tc>
        <w:tc>
          <w:tcPr>
            <w:tcW w:w="888" w:type="dxa"/>
          </w:tcPr>
          <w:p w14:paraId="5613BC6C"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15</w:t>
            </w:r>
          </w:p>
        </w:tc>
        <w:tc>
          <w:tcPr>
            <w:tcW w:w="4873" w:type="dxa"/>
          </w:tcPr>
          <w:p w14:paraId="4E305DEA" w14:textId="224F9F6C" w:rsidR="00372C08" w:rsidRPr="00F4000D" w:rsidRDefault="000B756A" w:rsidP="005A0213">
            <w:pPr>
              <w:rPr>
                <w:rFonts w:asciiTheme="majorHAnsi" w:hAnsiTheme="majorHAnsi" w:cstheme="majorHAnsi"/>
                <w:color w:val="000000" w:themeColor="text1"/>
                <w:sz w:val="24"/>
                <w:szCs w:val="24"/>
                <w:lang w:val="pl-PL"/>
              </w:rPr>
            </w:pPr>
            <w:proofErr w:type="spellStart"/>
            <w:r w:rsidRPr="00F4000D">
              <w:rPr>
                <w:rFonts w:asciiTheme="majorHAnsi" w:hAnsiTheme="majorHAnsi" w:cstheme="majorHAnsi"/>
                <w:color w:val="000000" w:themeColor="text1"/>
                <w:sz w:val="24"/>
                <w:szCs w:val="24"/>
                <w:lang w:val="pl-PL"/>
              </w:rPr>
              <w:t>Geoplan</w:t>
            </w:r>
            <w:proofErr w:type="spellEnd"/>
            <w:r w:rsidRPr="00F4000D">
              <w:rPr>
                <w:rFonts w:asciiTheme="majorHAnsi" w:hAnsiTheme="majorHAnsi" w:cstheme="majorHAnsi"/>
                <w:color w:val="000000" w:themeColor="text1"/>
                <w:sz w:val="24"/>
                <w:szCs w:val="24"/>
                <w:lang w:val="pl-PL"/>
              </w:rPr>
              <w:t xml:space="preserve"> dydaktyczny w formie płaskiej planszy z regularną siatką punktów (11×11), wykonany z trwałego, transparentnego tworzywa, umożliwiający rozpinanie gumek w celu tworzenia figur geometrycznych, badania symetrii oraz wykonywania ćwiczeń z geometrii płaskiej; zestaw zawiera planszę i gumki do pracy</w:t>
            </w:r>
            <w:r w:rsidR="000D46BA">
              <w:rPr>
                <w:rFonts w:asciiTheme="majorHAnsi" w:hAnsiTheme="majorHAnsi" w:cstheme="majorHAnsi"/>
                <w:color w:val="000000" w:themeColor="text1"/>
                <w:sz w:val="24"/>
                <w:szCs w:val="24"/>
                <w:lang w:val="pl-PL"/>
              </w:rPr>
              <w:t>.</w:t>
            </w:r>
          </w:p>
        </w:tc>
      </w:tr>
      <w:tr w:rsidR="0055541E" w:rsidRPr="00F4000D" w14:paraId="261A5954" w14:textId="77777777" w:rsidTr="00F4000D">
        <w:trPr>
          <w:jc w:val="center"/>
        </w:trPr>
        <w:tc>
          <w:tcPr>
            <w:tcW w:w="780" w:type="dxa"/>
          </w:tcPr>
          <w:p w14:paraId="15382EE5"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9</w:t>
            </w:r>
          </w:p>
        </w:tc>
        <w:tc>
          <w:tcPr>
            <w:tcW w:w="3115" w:type="dxa"/>
          </w:tcPr>
          <w:p w14:paraId="276BB4E6" w14:textId="77777777" w:rsidR="00372C08" w:rsidRPr="00F4000D" w:rsidRDefault="000B756A" w:rsidP="000D46BA">
            <w:pPr>
              <w:rPr>
                <w:rFonts w:asciiTheme="majorHAnsi" w:hAnsiTheme="majorHAnsi" w:cstheme="majorHAnsi"/>
                <w:color w:val="000000" w:themeColor="text1"/>
                <w:sz w:val="24"/>
                <w:szCs w:val="24"/>
                <w:lang w:val="pl-PL"/>
              </w:rPr>
            </w:pPr>
            <w:proofErr w:type="spellStart"/>
            <w:r w:rsidRPr="00F4000D">
              <w:rPr>
                <w:rFonts w:asciiTheme="majorHAnsi" w:hAnsiTheme="majorHAnsi" w:cstheme="majorHAnsi"/>
                <w:color w:val="000000" w:themeColor="text1"/>
                <w:sz w:val="24"/>
                <w:szCs w:val="24"/>
                <w:lang w:val="pl-PL"/>
              </w:rPr>
              <w:t>Geoplan</w:t>
            </w:r>
            <w:proofErr w:type="spellEnd"/>
            <w:r w:rsidRPr="00F4000D">
              <w:rPr>
                <w:rFonts w:asciiTheme="majorHAnsi" w:hAnsiTheme="majorHAnsi" w:cstheme="majorHAnsi"/>
                <w:color w:val="000000" w:themeColor="text1"/>
                <w:sz w:val="24"/>
                <w:szCs w:val="24"/>
                <w:lang w:val="pl-PL"/>
              </w:rPr>
              <w:t xml:space="preserve"> dwustronny 5x5/ koło</w:t>
            </w:r>
          </w:p>
        </w:tc>
        <w:tc>
          <w:tcPr>
            <w:tcW w:w="888" w:type="dxa"/>
          </w:tcPr>
          <w:p w14:paraId="6A07ADC0"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15</w:t>
            </w:r>
          </w:p>
        </w:tc>
        <w:tc>
          <w:tcPr>
            <w:tcW w:w="4873" w:type="dxa"/>
          </w:tcPr>
          <w:p w14:paraId="43A1828E"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Dwustronny </w:t>
            </w:r>
            <w:proofErr w:type="spellStart"/>
            <w:r w:rsidRPr="00F4000D">
              <w:rPr>
                <w:rFonts w:asciiTheme="majorHAnsi" w:hAnsiTheme="majorHAnsi" w:cstheme="majorHAnsi"/>
                <w:color w:val="000000" w:themeColor="text1"/>
                <w:sz w:val="24"/>
                <w:szCs w:val="24"/>
                <w:lang w:val="pl-PL"/>
              </w:rPr>
              <w:t>geoplan</w:t>
            </w:r>
            <w:proofErr w:type="spellEnd"/>
            <w:r w:rsidRPr="00F4000D">
              <w:rPr>
                <w:rFonts w:asciiTheme="majorHAnsi" w:hAnsiTheme="majorHAnsi" w:cstheme="majorHAnsi"/>
                <w:color w:val="000000" w:themeColor="text1"/>
                <w:sz w:val="24"/>
                <w:szCs w:val="24"/>
                <w:lang w:val="pl-PL"/>
              </w:rPr>
              <w:t xml:space="preserve"> dydaktyczny wykonany z trwałego tworzywa, z siatką punktów 5×5 na jednej stronie oraz układem okrężnym ok. 24 punktów na drugiej; przeznaczony do tworzenia figur geometrycznych, badania symetrii, pól, obwodów i zależności kątowych; zestaw zawiera planszę oraz gumki do rozpinania figur.</w:t>
            </w:r>
          </w:p>
        </w:tc>
      </w:tr>
      <w:tr w:rsidR="0055541E" w:rsidRPr="00F4000D" w14:paraId="64CD5388" w14:textId="77777777" w:rsidTr="00F4000D">
        <w:trPr>
          <w:jc w:val="center"/>
        </w:trPr>
        <w:tc>
          <w:tcPr>
            <w:tcW w:w="780" w:type="dxa"/>
          </w:tcPr>
          <w:p w14:paraId="5BE1B9E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10</w:t>
            </w:r>
          </w:p>
        </w:tc>
        <w:tc>
          <w:tcPr>
            <w:tcW w:w="3115" w:type="dxa"/>
          </w:tcPr>
          <w:p w14:paraId="7DA53984" w14:textId="77777777" w:rsidR="00372C08" w:rsidRPr="00F4000D" w:rsidRDefault="000B756A" w:rsidP="000D46BA">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magnetycznych klocków- figur geometrycznych</w:t>
            </w:r>
          </w:p>
        </w:tc>
        <w:tc>
          <w:tcPr>
            <w:tcW w:w="888" w:type="dxa"/>
          </w:tcPr>
          <w:p w14:paraId="469C670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792A3F5A"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zawiera minimum 40 kolorowych figur, które mogą być umieszczane na tablicach magnetycznych. Różne kolory doskonale wizualizują podział i ułamki. w min. 5 rodzajach figur (np. trójkąty, kwadraty, prostokąty, sześciokąty, koła), każdego rodzaju ≥ 6 szt. Materiał: sztywne tworzywo z naklejoną lub zintegrowaną warstwą magnetyczną (ferryt lub neodym równoważny), odporne na wyginanie. Przeznaczone do tablic magnetycznych; format figury bazowej min. 7 cm na boku/średnicy.</w:t>
            </w:r>
          </w:p>
        </w:tc>
      </w:tr>
      <w:tr w:rsidR="0055541E" w:rsidRPr="00F4000D" w14:paraId="6C55855F" w14:textId="77777777" w:rsidTr="00F4000D">
        <w:trPr>
          <w:jc w:val="center"/>
        </w:trPr>
        <w:tc>
          <w:tcPr>
            <w:tcW w:w="780" w:type="dxa"/>
          </w:tcPr>
          <w:p w14:paraId="340A819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11</w:t>
            </w:r>
          </w:p>
        </w:tc>
        <w:tc>
          <w:tcPr>
            <w:tcW w:w="3115" w:type="dxa"/>
          </w:tcPr>
          <w:p w14:paraId="12196681" w14:textId="77777777" w:rsidR="00372C08" w:rsidRPr="00F4000D" w:rsidRDefault="000B756A" w:rsidP="000D46BA">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Teraz Egzamin ósmoklasisty język angielski Nowa Era</w:t>
            </w:r>
          </w:p>
        </w:tc>
        <w:tc>
          <w:tcPr>
            <w:tcW w:w="888" w:type="dxa"/>
          </w:tcPr>
          <w:p w14:paraId="737E19A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32</w:t>
            </w:r>
          </w:p>
        </w:tc>
        <w:tc>
          <w:tcPr>
            <w:tcW w:w="4873" w:type="dxa"/>
          </w:tcPr>
          <w:p w14:paraId="47AA5396" w14:textId="63A3BDE9"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Repetytorium przygotowujące uczniów klasy ósmej do egzaminu z języka angielskiego. Publikacja powinna obejmować materiał zgodny z aktualnymi wymaganiami egzaminacyjnymi, zawierający zestaw ćwiczeń rozwijających wszystkie umiejętności oceniane na egzaminie, w tym rozumienie ze słuchu, rozumienie tekstów pisanych, znajomość funkcji językowych oraz tworzenie wypowiedzi pisemnej. Materiały powinny uwzględniać listy słownictwa, zadania gramatyczne, przykładowe strategie egzaminacyjne oraz omówienia typów zadań spotykanych w arkuszu. Repetytorium powinno zawierać zadania umożliwiające stopniowe rozwijanie kompetencji językowych oraz samodzielną weryfikację postępów. Produkt równoważny musi zapewniać takie same funkcjonalne możliwości dydaktyczne w zakresie przygotowania do egzaminu ósmoklasisty z języka angielskiego</w:t>
            </w:r>
            <w:r w:rsidR="000D46BA">
              <w:rPr>
                <w:rFonts w:asciiTheme="majorHAnsi" w:hAnsiTheme="majorHAnsi" w:cstheme="majorHAnsi"/>
                <w:color w:val="000000" w:themeColor="text1"/>
                <w:sz w:val="24"/>
                <w:szCs w:val="24"/>
                <w:lang w:val="pl-PL"/>
              </w:rPr>
              <w:t>.</w:t>
            </w:r>
          </w:p>
        </w:tc>
      </w:tr>
      <w:tr w:rsidR="0055541E" w:rsidRPr="00F4000D" w14:paraId="3D5E9429" w14:textId="77777777" w:rsidTr="00F4000D">
        <w:trPr>
          <w:jc w:val="center"/>
        </w:trPr>
        <w:tc>
          <w:tcPr>
            <w:tcW w:w="780" w:type="dxa"/>
          </w:tcPr>
          <w:p w14:paraId="27EA6C3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12</w:t>
            </w:r>
          </w:p>
        </w:tc>
        <w:tc>
          <w:tcPr>
            <w:tcW w:w="3115" w:type="dxa"/>
          </w:tcPr>
          <w:p w14:paraId="674690F5" w14:textId="1BB97F05" w:rsidR="00372C08" w:rsidRPr="00F4000D" w:rsidRDefault="000B756A" w:rsidP="000D46BA">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Mały Geniusz</w:t>
            </w:r>
            <w:r w:rsidR="000D46BA">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 język angielski quiz lub równoważne</w:t>
            </w:r>
          </w:p>
        </w:tc>
        <w:tc>
          <w:tcPr>
            <w:tcW w:w="888" w:type="dxa"/>
          </w:tcPr>
          <w:p w14:paraId="1934076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7C0DED89" w14:textId="364AA175"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Gra musi być materiałem dydaktycznym w formie quizu językowego, obejmującym pytania oraz odpowiedzi dotyczące podstawowego słownictwa i zagadnień języka angielskiego.</w:t>
            </w:r>
            <w:r w:rsidRPr="00F4000D">
              <w:rPr>
                <w:rFonts w:asciiTheme="majorHAnsi" w:hAnsiTheme="majorHAnsi" w:cstheme="majorHAnsi"/>
                <w:color w:val="000000" w:themeColor="text1"/>
                <w:sz w:val="24"/>
                <w:szCs w:val="24"/>
                <w:lang w:val="pl-PL"/>
              </w:rPr>
              <w:br/>
              <w:t xml:space="preserve">(Gry tego typu zawierają zestaw kart </w:t>
            </w:r>
            <w:proofErr w:type="spellStart"/>
            <w:r w:rsidRPr="00F4000D">
              <w:rPr>
                <w:rFonts w:asciiTheme="majorHAnsi" w:hAnsiTheme="majorHAnsi" w:cstheme="majorHAnsi"/>
                <w:color w:val="000000" w:themeColor="text1"/>
                <w:sz w:val="24"/>
                <w:szCs w:val="24"/>
                <w:lang w:val="pl-PL"/>
              </w:rPr>
              <w:t>quizowych</w:t>
            </w:r>
            <w:proofErr w:type="spellEnd"/>
            <w:r w:rsidRPr="00F4000D">
              <w:rPr>
                <w:rFonts w:asciiTheme="majorHAnsi" w:hAnsiTheme="majorHAnsi" w:cstheme="majorHAnsi"/>
                <w:color w:val="000000" w:themeColor="text1"/>
                <w:sz w:val="24"/>
                <w:szCs w:val="24"/>
                <w:lang w:val="pl-PL"/>
              </w:rPr>
              <w:t xml:space="preserve"> z pytaniami i ilustracjami) Gra powinna zawierać karty lub inne elementy </w:t>
            </w:r>
            <w:proofErr w:type="spellStart"/>
            <w:r w:rsidRPr="00F4000D">
              <w:rPr>
                <w:rFonts w:asciiTheme="majorHAnsi" w:hAnsiTheme="majorHAnsi" w:cstheme="majorHAnsi"/>
                <w:color w:val="000000" w:themeColor="text1"/>
                <w:sz w:val="24"/>
                <w:szCs w:val="24"/>
                <w:lang w:val="pl-PL"/>
              </w:rPr>
              <w:t>quizowe</w:t>
            </w:r>
            <w:proofErr w:type="spellEnd"/>
            <w:r w:rsidRPr="00F4000D">
              <w:rPr>
                <w:rFonts w:asciiTheme="majorHAnsi" w:hAnsiTheme="majorHAnsi" w:cstheme="majorHAnsi"/>
                <w:color w:val="000000" w:themeColor="text1"/>
                <w:sz w:val="24"/>
                <w:szCs w:val="24"/>
                <w:lang w:val="pl-PL"/>
              </w:rPr>
              <w:t xml:space="preserve"> z nadrukowanymi:</w:t>
            </w:r>
            <w:r w:rsidRPr="00F4000D">
              <w:rPr>
                <w:rFonts w:asciiTheme="majorHAnsi" w:hAnsiTheme="majorHAnsi" w:cstheme="majorHAnsi"/>
                <w:color w:val="000000" w:themeColor="text1"/>
                <w:sz w:val="24"/>
                <w:szCs w:val="24"/>
                <w:lang w:val="pl-PL"/>
              </w:rPr>
              <w:br/>
              <w:t>pytaniami,</w:t>
            </w:r>
            <w:r w:rsidRPr="00F4000D">
              <w:rPr>
                <w:rFonts w:asciiTheme="majorHAnsi" w:hAnsiTheme="majorHAnsi" w:cstheme="majorHAnsi"/>
                <w:color w:val="000000" w:themeColor="text1"/>
                <w:sz w:val="24"/>
                <w:szCs w:val="24"/>
                <w:lang w:val="pl-PL"/>
              </w:rPr>
              <w:br/>
              <w:t>odpowiedziami,</w:t>
            </w:r>
            <w:r w:rsidRPr="00F4000D">
              <w:rPr>
                <w:rFonts w:asciiTheme="majorHAnsi" w:hAnsiTheme="majorHAnsi" w:cstheme="majorHAnsi"/>
                <w:color w:val="000000" w:themeColor="text1"/>
                <w:sz w:val="24"/>
                <w:szCs w:val="24"/>
                <w:lang w:val="pl-PL"/>
              </w:rPr>
              <w:br/>
              <w:t>ilustracjami lub grafikami wspierającymi zapamiętywanie.</w:t>
            </w:r>
            <w:r w:rsidRPr="00F4000D">
              <w:rPr>
                <w:rFonts w:asciiTheme="majorHAnsi" w:hAnsiTheme="majorHAnsi" w:cstheme="majorHAnsi"/>
                <w:color w:val="000000" w:themeColor="text1"/>
                <w:sz w:val="24"/>
                <w:szCs w:val="24"/>
                <w:lang w:val="pl-PL"/>
              </w:rPr>
              <w:br/>
              <w:t>Zestaw powinien być przeznaczony do:</w:t>
            </w:r>
            <w:r w:rsidRPr="00F4000D">
              <w:rPr>
                <w:rFonts w:asciiTheme="majorHAnsi" w:hAnsiTheme="majorHAnsi" w:cstheme="majorHAnsi"/>
                <w:color w:val="000000" w:themeColor="text1"/>
                <w:sz w:val="24"/>
                <w:szCs w:val="24"/>
                <w:lang w:val="pl-PL"/>
              </w:rPr>
              <w:br/>
              <w:t>utrwalania słownictwa i wyrażeń angielskich,</w:t>
            </w:r>
            <w:r w:rsidRPr="00F4000D">
              <w:rPr>
                <w:rFonts w:asciiTheme="majorHAnsi" w:hAnsiTheme="majorHAnsi" w:cstheme="majorHAnsi"/>
                <w:color w:val="000000" w:themeColor="text1"/>
                <w:sz w:val="24"/>
                <w:szCs w:val="24"/>
                <w:lang w:val="pl-PL"/>
              </w:rPr>
              <w:br/>
              <w:t>rozwijania pamięci i kompetencji językowych,</w:t>
            </w:r>
            <w:r w:rsidRPr="00F4000D">
              <w:rPr>
                <w:rFonts w:asciiTheme="majorHAnsi" w:hAnsiTheme="majorHAnsi" w:cstheme="majorHAnsi"/>
                <w:color w:val="000000" w:themeColor="text1"/>
                <w:sz w:val="24"/>
                <w:szCs w:val="24"/>
                <w:lang w:val="pl-PL"/>
              </w:rPr>
              <w:br/>
              <w:t>pracy indywidualnej oraz w małych grupach.</w:t>
            </w:r>
            <w:r w:rsidRPr="00F4000D">
              <w:rPr>
                <w:rFonts w:asciiTheme="majorHAnsi" w:hAnsiTheme="majorHAnsi" w:cstheme="majorHAnsi"/>
                <w:color w:val="000000" w:themeColor="text1"/>
                <w:sz w:val="24"/>
                <w:szCs w:val="24"/>
                <w:lang w:val="pl-PL"/>
              </w:rPr>
              <w:br/>
              <w:t>Elementy gry muszą być wykonane z trwałych i bezpiecznych materiałów, odpornych na wielokrotne użytkowanie.</w:t>
            </w:r>
            <w:r w:rsidRPr="00F4000D">
              <w:rPr>
                <w:rFonts w:asciiTheme="majorHAnsi" w:hAnsiTheme="majorHAnsi" w:cstheme="majorHAnsi"/>
                <w:color w:val="000000" w:themeColor="text1"/>
                <w:sz w:val="24"/>
                <w:szCs w:val="24"/>
                <w:lang w:val="pl-PL"/>
              </w:rPr>
              <w:br/>
              <w:t>Zestaw powinien być dostarczony w opakowaniu umożliwiającym przechowywanie (np. pudełko kartonowe).</w:t>
            </w:r>
            <w:r w:rsidRPr="00F4000D">
              <w:rPr>
                <w:rFonts w:asciiTheme="majorHAnsi" w:hAnsiTheme="majorHAnsi" w:cstheme="majorHAnsi"/>
                <w:color w:val="000000" w:themeColor="text1"/>
                <w:sz w:val="24"/>
                <w:szCs w:val="24"/>
                <w:lang w:val="pl-PL"/>
              </w:rPr>
              <w:br/>
              <w:t>Gra powinna być odpowiednia dla uczniów szkoły podstawowej</w:t>
            </w:r>
            <w:r w:rsidR="000D46BA">
              <w:rPr>
                <w:rFonts w:asciiTheme="majorHAnsi" w:hAnsiTheme="majorHAnsi" w:cstheme="majorHAnsi"/>
                <w:color w:val="000000" w:themeColor="text1"/>
                <w:sz w:val="24"/>
                <w:szCs w:val="24"/>
                <w:lang w:val="pl-PL"/>
              </w:rPr>
              <w:t>.</w:t>
            </w:r>
          </w:p>
        </w:tc>
      </w:tr>
      <w:tr w:rsidR="0055541E" w:rsidRPr="00F4000D" w14:paraId="721D2685" w14:textId="77777777" w:rsidTr="00F4000D">
        <w:trPr>
          <w:jc w:val="center"/>
        </w:trPr>
        <w:tc>
          <w:tcPr>
            <w:tcW w:w="780" w:type="dxa"/>
          </w:tcPr>
          <w:p w14:paraId="7066B83E"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13</w:t>
            </w:r>
          </w:p>
        </w:tc>
        <w:tc>
          <w:tcPr>
            <w:tcW w:w="3115" w:type="dxa"/>
          </w:tcPr>
          <w:p w14:paraId="2FB70A1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Mattel Scrabble </w:t>
            </w:r>
            <w:proofErr w:type="spellStart"/>
            <w:r w:rsidRPr="00F4000D">
              <w:rPr>
                <w:rFonts w:asciiTheme="majorHAnsi" w:hAnsiTheme="majorHAnsi" w:cstheme="majorHAnsi"/>
                <w:color w:val="000000" w:themeColor="text1"/>
                <w:sz w:val="24"/>
                <w:szCs w:val="24"/>
                <w:lang w:val="pl-PL"/>
              </w:rPr>
              <w:t>Practice</w:t>
            </w:r>
            <w:proofErr w:type="spellEnd"/>
            <w:r w:rsidRPr="00F4000D">
              <w:rPr>
                <w:rFonts w:asciiTheme="majorHAnsi" w:hAnsiTheme="majorHAnsi" w:cstheme="majorHAnsi"/>
                <w:color w:val="000000" w:themeColor="text1"/>
                <w:sz w:val="24"/>
                <w:szCs w:val="24"/>
                <w:lang w:val="pl-PL"/>
              </w:rPr>
              <w:t xml:space="preserve"> and Play lub równoważne</w:t>
            </w:r>
          </w:p>
        </w:tc>
        <w:tc>
          <w:tcPr>
            <w:tcW w:w="888" w:type="dxa"/>
          </w:tcPr>
          <w:p w14:paraId="1C0A55C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4F4A8E78" w14:textId="2756B290" w:rsidR="000D46BA"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Gra słowna do nauki angielskiego: dwustronna plansza (strona dla początkujących z ilustracjami i podpisami, druga – z układem pól typowym dla gier słownych), płytki literowe ≥ 70 szt., pudełko/pojemnik na litery, materiał pomocniczy (np. mini-słowniczek obrazkowy). 2–4 graczy, 5+.</w:t>
            </w:r>
          </w:p>
          <w:p w14:paraId="538A0CE2" w14:textId="68FAD589"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Równoważność: dopuszcza się inne gry słowne, jeśli umożliwiają układanie wyrazów z liter, naukę pisowni i posiadają wariant dla początkujących (pola z obrazkami/słowami).</w:t>
            </w:r>
          </w:p>
        </w:tc>
      </w:tr>
      <w:tr w:rsidR="0055541E" w:rsidRPr="00F4000D" w14:paraId="3ECB37EA" w14:textId="77777777" w:rsidTr="00F4000D">
        <w:trPr>
          <w:jc w:val="center"/>
        </w:trPr>
        <w:tc>
          <w:tcPr>
            <w:tcW w:w="780" w:type="dxa"/>
          </w:tcPr>
          <w:p w14:paraId="635BB62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14</w:t>
            </w:r>
          </w:p>
        </w:tc>
        <w:tc>
          <w:tcPr>
            <w:tcW w:w="3115" w:type="dxa"/>
          </w:tcPr>
          <w:p w14:paraId="5067B6FB" w14:textId="77777777" w:rsidR="00372C08" w:rsidRPr="00F4000D" w:rsidRDefault="000B756A" w:rsidP="000D46BA">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Ruchomy alfabet Montessori - Zestaw pomocy wg Montessori</w:t>
            </w:r>
          </w:p>
        </w:tc>
        <w:tc>
          <w:tcPr>
            <w:tcW w:w="888" w:type="dxa"/>
          </w:tcPr>
          <w:p w14:paraId="35E3999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778830F6" w14:textId="2F994E1E"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Komplet liter alfabetu polskiego, w tym znaki diakrytyczne (ą, ć, ę, ł, ń, ó, ś, ź, ż). Wysokość liter: min. 40 mm (±10%); materiał: drewno/sklejka/tworzywo – krawędzie gładkie. Kolorystyka: rozróżnienie samogłosek i spółgłosek (np. czerwony/niebieski). Pojemnik z przegródkami.</w:t>
            </w:r>
            <w:r w:rsidRPr="00F4000D">
              <w:rPr>
                <w:rFonts w:asciiTheme="majorHAnsi" w:hAnsiTheme="majorHAnsi" w:cstheme="majorHAnsi"/>
                <w:color w:val="000000" w:themeColor="text1"/>
                <w:sz w:val="24"/>
                <w:szCs w:val="24"/>
                <w:lang w:val="pl-PL"/>
              </w:rPr>
              <w:br/>
              <w:t>Równoważność: dopuszcza się inne zestawy, jeśli zapewniają pełen alfabet PL, rozróżnienie barwne typów liter i parametry wielkości.</w:t>
            </w:r>
          </w:p>
        </w:tc>
      </w:tr>
      <w:tr w:rsidR="0055541E" w:rsidRPr="00F4000D" w14:paraId="5C575527" w14:textId="77777777" w:rsidTr="00F4000D">
        <w:trPr>
          <w:jc w:val="center"/>
        </w:trPr>
        <w:tc>
          <w:tcPr>
            <w:tcW w:w="780" w:type="dxa"/>
          </w:tcPr>
          <w:p w14:paraId="152CF11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15</w:t>
            </w:r>
          </w:p>
        </w:tc>
        <w:tc>
          <w:tcPr>
            <w:tcW w:w="3115" w:type="dxa"/>
          </w:tcPr>
          <w:p w14:paraId="7829B41A" w14:textId="77777777" w:rsidR="00372C08" w:rsidRPr="00F4000D" w:rsidRDefault="000B756A" w:rsidP="000D46BA">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Zegary do nauki czasu- zestaw</w:t>
            </w:r>
          </w:p>
        </w:tc>
        <w:tc>
          <w:tcPr>
            <w:tcW w:w="888" w:type="dxa"/>
          </w:tcPr>
          <w:p w14:paraId="72EF44D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0F437C96" w14:textId="5D5D47A2" w:rsidR="000D46BA"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w:t>
            </w:r>
            <w:r w:rsidR="000D46BA">
              <w:rPr>
                <w:rFonts w:asciiTheme="majorHAnsi" w:hAnsiTheme="majorHAnsi" w:cstheme="majorHAnsi"/>
                <w:color w:val="000000" w:themeColor="text1"/>
                <w:sz w:val="24"/>
                <w:szCs w:val="24"/>
                <w:lang w:val="pl-PL"/>
              </w:rPr>
              <w:t>m</w:t>
            </w:r>
            <w:r w:rsidRPr="00F4000D">
              <w:rPr>
                <w:rFonts w:asciiTheme="majorHAnsi" w:hAnsiTheme="majorHAnsi" w:cstheme="majorHAnsi"/>
                <w:color w:val="000000" w:themeColor="text1"/>
                <w:sz w:val="24"/>
                <w:szCs w:val="24"/>
                <w:lang w:val="pl-PL"/>
              </w:rPr>
              <w:t>in. 6 małych zegarów analogowych, średnica tarczy min. 10 cm (±10%), wskazówki ruchome (godzinowa/minutowa) z wyraźną skalą minut (0–59). Materiał: tworzywo bez ostrych krawędzi.</w:t>
            </w:r>
          </w:p>
          <w:p w14:paraId="60313F54" w14:textId="643FB05F"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Równoważność: inne zestawy uczniowskie o porównywalnej liczbie, formacie i funkcjonalności.</w:t>
            </w:r>
          </w:p>
        </w:tc>
      </w:tr>
      <w:tr w:rsidR="0055541E" w:rsidRPr="00F4000D" w14:paraId="07DB3A02" w14:textId="77777777" w:rsidTr="00F4000D">
        <w:trPr>
          <w:jc w:val="center"/>
        </w:trPr>
        <w:tc>
          <w:tcPr>
            <w:tcW w:w="780" w:type="dxa"/>
          </w:tcPr>
          <w:p w14:paraId="1D6A98A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16</w:t>
            </w:r>
          </w:p>
        </w:tc>
        <w:tc>
          <w:tcPr>
            <w:tcW w:w="3115" w:type="dxa"/>
          </w:tcPr>
          <w:p w14:paraId="1D6E1BB4" w14:textId="77777777" w:rsidR="00372C08" w:rsidRPr="00F4000D" w:rsidRDefault="000B756A" w:rsidP="000D46BA">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„Bójka na czytanie- gra edukacyjna” lub równoważna</w:t>
            </w:r>
          </w:p>
        </w:tc>
        <w:tc>
          <w:tcPr>
            <w:tcW w:w="888" w:type="dxa"/>
          </w:tcPr>
          <w:p w14:paraId="2429793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661D29D8" w14:textId="04E75179"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Gra edukacyjna do nauki czytania oparta na metodzie sylabowej, zawierająca co najmniej 100 kart z wyrazami i kolorowymi ilustracjami, podzielonymi na 3 poziomy trudności (wyrazy 1–2</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sylabowe z sylabami otwartymi, wyrazy z sylabami zamkniętymi i 3</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sylabowymi oraz wyrazy z polskimi znakami diakrytycznymi). Zestaw umożliwia ćwiczenie analizy i syntezy sylabowej, rozwoju świadomości fonologicznej, koncentracji, spostrzegawczości i logicznego myślenia; dodatkowo zawiera słowniczek obrazkowy. Przeznaczona dla dzieci od ok. 6 lat, do krótkich rozgrywek dydaktycznych w grupie 2–6 osób</w:t>
            </w:r>
            <w:r w:rsidR="000D46BA">
              <w:rPr>
                <w:rFonts w:asciiTheme="majorHAnsi" w:hAnsiTheme="majorHAnsi" w:cstheme="majorHAnsi"/>
                <w:color w:val="000000" w:themeColor="text1"/>
                <w:sz w:val="24"/>
                <w:szCs w:val="24"/>
                <w:lang w:val="pl-PL"/>
              </w:rPr>
              <w:t>.</w:t>
            </w:r>
          </w:p>
        </w:tc>
      </w:tr>
      <w:tr w:rsidR="0055541E" w:rsidRPr="00F4000D" w14:paraId="5A941B7A" w14:textId="77777777" w:rsidTr="00F4000D">
        <w:trPr>
          <w:jc w:val="center"/>
        </w:trPr>
        <w:tc>
          <w:tcPr>
            <w:tcW w:w="780" w:type="dxa"/>
          </w:tcPr>
          <w:p w14:paraId="004D1FD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17</w:t>
            </w:r>
          </w:p>
        </w:tc>
        <w:tc>
          <w:tcPr>
            <w:tcW w:w="3115" w:type="dxa"/>
          </w:tcPr>
          <w:p w14:paraId="29CB4F07" w14:textId="2B0F4C1A" w:rsidR="00372C08" w:rsidRPr="00F4000D" w:rsidRDefault="000B756A" w:rsidP="000D46BA">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„Elementarz</w:t>
            </w:r>
            <w:r w:rsidR="000D46BA">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 xml:space="preserve">- czytamy </w:t>
            </w:r>
            <w:r w:rsidRPr="00F4000D">
              <w:rPr>
                <w:rFonts w:asciiTheme="majorHAnsi" w:hAnsiTheme="majorHAnsi" w:cstheme="majorHAnsi"/>
                <w:color w:val="000000" w:themeColor="text1"/>
                <w:sz w:val="24"/>
                <w:szCs w:val="24"/>
                <w:lang w:val="pl-PL"/>
              </w:rPr>
              <w:lastRenderedPageBreak/>
              <w:t>metoda sylabową”</w:t>
            </w:r>
          </w:p>
        </w:tc>
        <w:tc>
          <w:tcPr>
            <w:tcW w:w="888" w:type="dxa"/>
          </w:tcPr>
          <w:p w14:paraId="77A383C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5</w:t>
            </w:r>
          </w:p>
        </w:tc>
        <w:tc>
          <w:tcPr>
            <w:tcW w:w="4873" w:type="dxa"/>
          </w:tcPr>
          <w:p w14:paraId="570449E8"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Elementarz do nauki czytania oparty na </w:t>
            </w:r>
            <w:r w:rsidRPr="00F4000D">
              <w:rPr>
                <w:rFonts w:asciiTheme="majorHAnsi" w:hAnsiTheme="majorHAnsi" w:cstheme="majorHAnsi"/>
                <w:color w:val="000000" w:themeColor="text1"/>
                <w:sz w:val="24"/>
                <w:szCs w:val="24"/>
                <w:lang w:val="pl-PL"/>
              </w:rPr>
              <w:lastRenderedPageBreak/>
              <w:t>metodzie sylabowej, zawierający stopniowo wprowadzane sylaby, wyrazy i proste zdania, różnorodne ćwiczenia utrwalające oraz kolorowe ilustracje wspierające analizę i syntezę wyrazów. Przeznaczony dla dzieci rozpoczynających naukę czytania, zgodny z założeniami edukacji wczesnoszkolnej; druk o wysokiej czytelności, układ treści dostosowany do pracy w domu i w szkole.</w:t>
            </w:r>
          </w:p>
        </w:tc>
      </w:tr>
      <w:tr w:rsidR="0055541E" w:rsidRPr="00F4000D" w14:paraId="55E4FE23" w14:textId="77777777" w:rsidTr="00F4000D">
        <w:trPr>
          <w:jc w:val="center"/>
        </w:trPr>
        <w:tc>
          <w:tcPr>
            <w:tcW w:w="780" w:type="dxa"/>
          </w:tcPr>
          <w:p w14:paraId="7EEEFB1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18</w:t>
            </w:r>
          </w:p>
        </w:tc>
        <w:tc>
          <w:tcPr>
            <w:tcW w:w="3115" w:type="dxa"/>
          </w:tcPr>
          <w:p w14:paraId="3124D25E" w14:textId="77777777" w:rsidR="00372C08" w:rsidRPr="00F4000D" w:rsidRDefault="000B756A" w:rsidP="000D46BA">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Gra muzyczna, </w:t>
            </w:r>
            <w:proofErr w:type="spellStart"/>
            <w:r w:rsidRPr="00F4000D">
              <w:rPr>
                <w:rFonts w:asciiTheme="majorHAnsi" w:hAnsiTheme="majorHAnsi" w:cstheme="majorHAnsi"/>
                <w:color w:val="000000" w:themeColor="text1"/>
                <w:sz w:val="24"/>
                <w:szCs w:val="24"/>
                <w:lang w:val="pl-PL"/>
              </w:rPr>
              <w:t>eduklacyjna</w:t>
            </w:r>
            <w:proofErr w:type="spellEnd"/>
            <w:r w:rsidRPr="00F4000D">
              <w:rPr>
                <w:rFonts w:asciiTheme="majorHAnsi" w:hAnsiTheme="majorHAnsi" w:cstheme="majorHAnsi"/>
                <w:color w:val="000000" w:themeColor="text1"/>
                <w:sz w:val="24"/>
                <w:szCs w:val="24"/>
                <w:lang w:val="pl-PL"/>
              </w:rPr>
              <w:t>: Pamięć dźwiękowa lub  równoważna</w:t>
            </w:r>
          </w:p>
        </w:tc>
        <w:tc>
          <w:tcPr>
            <w:tcW w:w="888" w:type="dxa"/>
          </w:tcPr>
          <w:p w14:paraId="6CA72E9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64B3843D" w14:textId="7C387194"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edukacyjny rozwijający pamięć słuchową i percepcję dźwięków, składający się z par elementów emitujących identyczne dźwięki po potrząśnięciu; przeznaczony do ćwiczeń różnicowania, porównywania i zapamiętywania bodźców słuchowych. Elementy wykonane z trwałego materiału, bezpieczne dla dzieci, odpowiednie do wykorzystania w terapii pedagogicznej, zajęciach przedszkolnych i edukacji wczesnoszkolnej.</w:t>
            </w:r>
            <w:r w:rsidR="000D46BA">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 xml:space="preserve">Gra słuchowa – min. 6 par elementów emitujących identyczny dźwięk po potrząśnięciu; materiał bezpieczny. Poziom głośności: &lt; 80 </w:t>
            </w:r>
            <w:proofErr w:type="spellStart"/>
            <w:r w:rsidRPr="00F4000D">
              <w:rPr>
                <w:rFonts w:asciiTheme="majorHAnsi" w:hAnsiTheme="majorHAnsi" w:cstheme="majorHAnsi"/>
                <w:color w:val="000000" w:themeColor="text1"/>
                <w:sz w:val="24"/>
                <w:szCs w:val="24"/>
                <w:lang w:val="pl-PL"/>
              </w:rPr>
              <w:t>dB</w:t>
            </w:r>
            <w:proofErr w:type="spellEnd"/>
            <w:r w:rsidRPr="00F4000D">
              <w:rPr>
                <w:rFonts w:asciiTheme="majorHAnsi" w:hAnsiTheme="majorHAnsi" w:cstheme="majorHAnsi"/>
                <w:color w:val="000000" w:themeColor="text1"/>
                <w:sz w:val="24"/>
                <w:szCs w:val="24"/>
                <w:lang w:val="pl-PL"/>
              </w:rPr>
              <w:t xml:space="preserve"> przy normalnym użyciu.</w:t>
            </w:r>
            <w:r w:rsidRPr="00F4000D">
              <w:rPr>
                <w:rFonts w:asciiTheme="majorHAnsi" w:hAnsiTheme="majorHAnsi" w:cstheme="majorHAnsi"/>
                <w:color w:val="000000" w:themeColor="text1"/>
                <w:sz w:val="24"/>
                <w:szCs w:val="24"/>
                <w:lang w:val="pl-PL"/>
              </w:rPr>
              <w:br/>
              <w:t>Równoważność: inne zestawy pamięci</w:t>
            </w:r>
            <w:r w:rsidR="00F4000D">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dźwiękowej o równoważnej liczbie par i parametrach akustycznych.</w:t>
            </w:r>
          </w:p>
        </w:tc>
      </w:tr>
      <w:tr w:rsidR="0055541E" w:rsidRPr="00F4000D" w14:paraId="50BE55EC" w14:textId="77777777" w:rsidTr="00F4000D">
        <w:trPr>
          <w:jc w:val="center"/>
        </w:trPr>
        <w:tc>
          <w:tcPr>
            <w:tcW w:w="780" w:type="dxa"/>
          </w:tcPr>
          <w:p w14:paraId="4CF666B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19</w:t>
            </w:r>
          </w:p>
        </w:tc>
        <w:tc>
          <w:tcPr>
            <w:tcW w:w="3115" w:type="dxa"/>
          </w:tcPr>
          <w:p w14:paraId="23CF912A" w14:textId="77777777" w:rsidR="00372C08" w:rsidRPr="00F4000D" w:rsidRDefault="000B756A" w:rsidP="000D46BA">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Gra muzyczna: Memory Instrumenty lub równoważna</w:t>
            </w:r>
          </w:p>
        </w:tc>
        <w:tc>
          <w:tcPr>
            <w:tcW w:w="888" w:type="dxa"/>
          </w:tcPr>
          <w:p w14:paraId="6D00B67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4F642A79" w14:textId="56DED6D8"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Gra edukacyjna typu </w:t>
            </w:r>
            <w:proofErr w:type="spellStart"/>
            <w:r w:rsidRPr="00F4000D">
              <w:rPr>
                <w:rFonts w:asciiTheme="majorHAnsi" w:hAnsiTheme="majorHAnsi" w:cstheme="majorHAnsi"/>
                <w:color w:val="000000" w:themeColor="text1"/>
                <w:sz w:val="24"/>
                <w:szCs w:val="24"/>
                <w:lang w:val="pl-PL"/>
              </w:rPr>
              <w:t>memory</w:t>
            </w:r>
            <w:proofErr w:type="spellEnd"/>
            <w:r w:rsidRPr="00F4000D">
              <w:rPr>
                <w:rFonts w:asciiTheme="majorHAnsi" w:hAnsiTheme="majorHAnsi" w:cstheme="majorHAnsi"/>
                <w:color w:val="000000" w:themeColor="text1"/>
                <w:sz w:val="24"/>
                <w:szCs w:val="24"/>
                <w:lang w:val="pl-PL"/>
              </w:rPr>
              <w:t>, składająca się z zestawu par kart/kafelków z ilustracjami różnych instrumentów muzycznych, przeznaczona do ćwiczenia pamięci wzrokowej, koncentracji, spostrzegawczości oraz kojarzenia. Elementy wykonane z trwałego, sztywnego kartonu, z barwnymi, czytelnymi grafikami; gra odpowiednia dla dzieci w wieku przedszkolnym i wczesnoszkolnym, do pracy indywidualnej i grupowej.</w:t>
            </w:r>
            <w:r w:rsidR="000D46BA">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Zestaw co najmniej 24 par kart/kafelków z ilustracjami instrumentów</w:t>
            </w:r>
            <w:r w:rsidR="000D46BA">
              <w:rPr>
                <w:rFonts w:asciiTheme="majorHAnsi" w:hAnsiTheme="majorHAnsi" w:cstheme="majorHAnsi"/>
                <w:color w:val="000000" w:themeColor="text1"/>
                <w:sz w:val="24"/>
                <w:szCs w:val="24"/>
                <w:lang w:val="pl-PL"/>
              </w:rPr>
              <w:t>.</w:t>
            </w:r>
          </w:p>
        </w:tc>
      </w:tr>
      <w:tr w:rsidR="0055541E" w:rsidRPr="00F4000D" w14:paraId="302522BD" w14:textId="77777777" w:rsidTr="00F4000D">
        <w:trPr>
          <w:jc w:val="center"/>
        </w:trPr>
        <w:tc>
          <w:tcPr>
            <w:tcW w:w="780" w:type="dxa"/>
          </w:tcPr>
          <w:p w14:paraId="30F3232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20</w:t>
            </w:r>
          </w:p>
        </w:tc>
        <w:tc>
          <w:tcPr>
            <w:tcW w:w="3115" w:type="dxa"/>
          </w:tcPr>
          <w:p w14:paraId="7A97DED6" w14:textId="77777777" w:rsidR="00372C08" w:rsidRPr="00F4000D" w:rsidRDefault="000B756A" w:rsidP="000D46BA">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Gra muzyczna: Tropimy dźwięki lub równoważna</w:t>
            </w:r>
          </w:p>
        </w:tc>
        <w:tc>
          <w:tcPr>
            <w:tcW w:w="888" w:type="dxa"/>
          </w:tcPr>
          <w:p w14:paraId="2F4CB1E0"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4E3F7AF9" w14:textId="5DC57C25" w:rsidR="000D46BA"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Edukacyjna gra sensoryczno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 xml:space="preserve">słuchowa przeznaczona do rozwijania pamięci słuchowej, percepcji słuchowej oraz koncentracji uwagi u dzieci. Zestaw powinien zawierać elementy emitujące zróżnicowane dźwięki, umożliwiające łączenie ich w pary na podstawie </w:t>
            </w:r>
            <w:r w:rsidRPr="00F4000D">
              <w:rPr>
                <w:rFonts w:asciiTheme="majorHAnsi" w:hAnsiTheme="majorHAnsi" w:cstheme="majorHAnsi"/>
                <w:color w:val="000000" w:themeColor="text1"/>
                <w:sz w:val="24"/>
                <w:szCs w:val="24"/>
                <w:lang w:val="pl-PL"/>
              </w:rPr>
              <w:lastRenderedPageBreak/>
              <w:t xml:space="preserve">rozpoznawania brzmień. Gra powinna obejmować kilka wariantów aktywności o zróżnicowanym poziomie trudności, pozwalających na prowadzenie zajęć zarówno indywidualnych, jak i grupowych. W skład zestawu powinny wchodzić plansze do organizacji rozgrywki, elementy dźwiękowe, akcesoria wspierające przebieg gry (np. element odmierzający czas lub materiały do punktacji) oraz instrukcja. </w:t>
            </w:r>
          </w:p>
          <w:p w14:paraId="2C50BB10" w14:textId="3BB29D0B"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Produkt równoważny musi umożliwiać ćwiczenie pamięci słuchowej i dopasowywanie dźwięków w formie aktywności edukacyjnej, wspierając rozwój funkcji poznawczych dzieci.</w:t>
            </w:r>
            <w:r w:rsidR="000D46BA">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 xml:space="preserve">Gra słuchowa do dopasowywania dźwięków w pary; ≥ 12 elementów dźwiękowych + plansze organizacyjne; ≥ 3 warianty trudności. Poziom głośności &lt; 80 </w:t>
            </w:r>
            <w:proofErr w:type="spellStart"/>
            <w:r w:rsidRPr="00F4000D">
              <w:rPr>
                <w:rFonts w:asciiTheme="majorHAnsi" w:hAnsiTheme="majorHAnsi" w:cstheme="majorHAnsi"/>
                <w:color w:val="000000" w:themeColor="text1"/>
                <w:sz w:val="24"/>
                <w:szCs w:val="24"/>
                <w:lang w:val="pl-PL"/>
              </w:rPr>
              <w:t>dB</w:t>
            </w:r>
            <w:proofErr w:type="spellEnd"/>
            <w:r w:rsidRPr="00F4000D">
              <w:rPr>
                <w:rFonts w:asciiTheme="majorHAnsi" w:hAnsiTheme="majorHAnsi" w:cstheme="majorHAnsi"/>
                <w:color w:val="000000" w:themeColor="text1"/>
                <w:sz w:val="24"/>
                <w:szCs w:val="24"/>
                <w:lang w:val="pl-PL"/>
              </w:rPr>
              <w:t>.</w:t>
            </w:r>
          </w:p>
        </w:tc>
      </w:tr>
      <w:tr w:rsidR="0055541E" w:rsidRPr="00F4000D" w14:paraId="63093B7C" w14:textId="77777777" w:rsidTr="00F4000D">
        <w:trPr>
          <w:jc w:val="center"/>
        </w:trPr>
        <w:tc>
          <w:tcPr>
            <w:tcW w:w="780" w:type="dxa"/>
          </w:tcPr>
          <w:p w14:paraId="1BB282E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21</w:t>
            </w:r>
          </w:p>
        </w:tc>
        <w:tc>
          <w:tcPr>
            <w:tcW w:w="3115" w:type="dxa"/>
          </w:tcPr>
          <w:p w14:paraId="2A54B46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Interaktywny robot </w:t>
            </w:r>
            <w:proofErr w:type="spellStart"/>
            <w:r w:rsidRPr="00F4000D">
              <w:rPr>
                <w:rFonts w:asciiTheme="majorHAnsi" w:hAnsiTheme="majorHAnsi" w:cstheme="majorHAnsi"/>
                <w:color w:val="000000" w:themeColor="text1"/>
                <w:sz w:val="24"/>
                <w:szCs w:val="24"/>
                <w:lang w:val="pl-PL"/>
              </w:rPr>
              <w:t>Woki</w:t>
            </w:r>
            <w:proofErr w:type="spellEnd"/>
            <w:r w:rsidRPr="00F4000D">
              <w:rPr>
                <w:rFonts w:asciiTheme="majorHAnsi" w:hAnsiTheme="majorHAnsi" w:cstheme="majorHAnsi"/>
                <w:color w:val="000000" w:themeColor="text1"/>
                <w:sz w:val="24"/>
                <w:szCs w:val="24"/>
                <w:lang w:val="pl-PL"/>
              </w:rPr>
              <w:t xml:space="preserve"> do nauki programowania lub równoważny</w:t>
            </w:r>
          </w:p>
        </w:tc>
        <w:tc>
          <w:tcPr>
            <w:tcW w:w="888" w:type="dxa"/>
          </w:tcPr>
          <w:p w14:paraId="0E98CCA0"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w:t>
            </w:r>
          </w:p>
        </w:tc>
        <w:tc>
          <w:tcPr>
            <w:tcW w:w="4873" w:type="dxa"/>
          </w:tcPr>
          <w:p w14:paraId="16EED25F" w14:textId="6E8E2244"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Robot edukacyjny dla dzieci 6–10 lat do nauki sekwencjonowania i logicznego planowania. Programowanie poprzez sekwencje graficzne: kody kolorów i/lub inne znaczniki graficzne (np. wzory, piktogramy, kody symboliczne), odczytywane przez czujnik robota. Zestaw zawiera elementy do budowy tras/labiryntów (plansze/</w:t>
            </w:r>
            <w:proofErr w:type="spellStart"/>
            <w:r w:rsidRPr="00F4000D">
              <w:rPr>
                <w:rFonts w:asciiTheme="majorHAnsi" w:hAnsiTheme="majorHAnsi" w:cstheme="majorHAnsi"/>
                <w:color w:val="000000" w:themeColor="text1"/>
                <w:sz w:val="24"/>
                <w:szCs w:val="24"/>
                <w:lang w:val="pl-PL"/>
              </w:rPr>
              <w:t>puzzlowe</w:t>
            </w:r>
            <w:proofErr w:type="spellEnd"/>
            <w:r w:rsidRPr="00F4000D">
              <w:rPr>
                <w:rFonts w:asciiTheme="majorHAnsi" w:hAnsiTheme="majorHAnsi" w:cstheme="majorHAnsi"/>
                <w:color w:val="000000" w:themeColor="text1"/>
                <w:sz w:val="24"/>
                <w:szCs w:val="24"/>
                <w:lang w:val="pl-PL"/>
              </w:rPr>
              <w:t xml:space="preserve"> moduły) o rosnącej trudności. Robot sygnalizuje działanie światłem i/lub dźwiękiem. Zawartość: scenariusze zadań/karty pracy.</w:t>
            </w:r>
            <w:r w:rsidRPr="00F4000D">
              <w:rPr>
                <w:rFonts w:asciiTheme="majorHAnsi" w:hAnsiTheme="majorHAnsi" w:cstheme="majorHAnsi"/>
                <w:color w:val="000000" w:themeColor="text1"/>
                <w:sz w:val="24"/>
                <w:szCs w:val="24"/>
                <w:lang w:val="pl-PL"/>
              </w:rPr>
              <w:br/>
              <w:t>Równoważność: dopuszcza się roboty o innym sposobie kodowania (np. znacznikami graficznymi/kolorami) pod warunkiem osiągania tożsamych efektów dydaktycznych (planowanie, sekwencje, rozwiązywanie problemów) i pracy na fizycznych trasach.</w:t>
            </w:r>
          </w:p>
        </w:tc>
      </w:tr>
      <w:tr w:rsidR="0055541E" w:rsidRPr="00F4000D" w14:paraId="10B61440" w14:textId="77777777" w:rsidTr="00F4000D">
        <w:trPr>
          <w:jc w:val="center"/>
        </w:trPr>
        <w:tc>
          <w:tcPr>
            <w:tcW w:w="780" w:type="dxa"/>
          </w:tcPr>
          <w:p w14:paraId="743BEDFE"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22</w:t>
            </w:r>
          </w:p>
        </w:tc>
        <w:tc>
          <w:tcPr>
            <w:tcW w:w="3115" w:type="dxa"/>
          </w:tcPr>
          <w:p w14:paraId="3A262355" w14:textId="77777777" w:rsidR="00372C08" w:rsidRPr="00F4000D" w:rsidRDefault="000B756A" w:rsidP="000D46BA">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Kompetencje kluczowe z matą do kodowania</w:t>
            </w:r>
          </w:p>
        </w:tc>
        <w:tc>
          <w:tcPr>
            <w:tcW w:w="888" w:type="dxa"/>
          </w:tcPr>
          <w:p w14:paraId="642649A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2BE52480" w14:textId="5E91E9D1"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edukacyjny przeznaczony do rozwijania 8 kompetencji kluczowych u dzieci w wieku ok. 3–10 lat, oparty na pracy z dwustronną matą do kodowania (siatka 10×10 pól oraz strona z co najmniej 70 kolorowymi polami). Zawiera komplety dwustronnych krążków kompetencyjnych (co najmniej 300 szt.), krążków matematycznych, kolorowe kartoniki oraz kubeczki do kodowania, umożliwiające </w:t>
            </w:r>
            <w:r w:rsidRPr="00F4000D">
              <w:rPr>
                <w:rFonts w:asciiTheme="majorHAnsi" w:hAnsiTheme="majorHAnsi" w:cstheme="majorHAnsi"/>
                <w:color w:val="000000" w:themeColor="text1"/>
                <w:sz w:val="24"/>
                <w:szCs w:val="24"/>
                <w:lang w:val="pl-PL"/>
              </w:rPr>
              <w:lastRenderedPageBreak/>
              <w:t>prowadzenie ćwiczeń z zakresu logicznego myślenia, sekwencjonowania, orientacji przestrzennej, kompetencji językowych i społecznych. Zestaw dostosowany do pracy w przedszkolu i edukacji wczesnoszkolnej, pozwala na realizację zajęć w duchu edukacji STEAM, kodowania offline i aktywności grupowych</w:t>
            </w:r>
            <w:r w:rsidR="000D46BA">
              <w:rPr>
                <w:rFonts w:asciiTheme="majorHAnsi" w:hAnsiTheme="majorHAnsi" w:cstheme="majorHAnsi"/>
                <w:color w:val="000000" w:themeColor="text1"/>
                <w:sz w:val="24"/>
                <w:szCs w:val="24"/>
                <w:lang w:val="pl-PL"/>
              </w:rPr>
              <w:t>.</w:t>
            </w:r>
          </w:p>
        </w:tc>
      </w:tr>
      <w:tr w:rsidR="0055541E" w:rsidRPr="00F4000D" w14:paraId="61C1DBBA" w14:textId="77777777" w:rsidTr="00F4000D">
        <w:trPr>
          <w:jc w:val="center"/>
        </w:trPr>
        <w:tc>
          <w:tcPr>
            <w:tcW w:w="780" w:type="dxa"/>
          </w:tcPr>
          <w:p w14:paraId="3433953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23</w:t>
            </w:r>
          </w:p>
        </w:tc>
        <w:tc>
          <w:tcPr>
            <w:tcW w:w="3115" w:type="dxa"/>
          </w:tcPr>
          <w:p w14:paraId="39F15BFE" w14:textId="77777777" w:rsidR="00372C08" w:rsidRPr="00F4000D" w:rsidRDefault="000B756A" w:rsidP="000D46BA">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Premium z nowymi </w:t>
            </w:r>
            <w:proofErr w:type="spellStart"/>
            <w:r w:rsidRPr="00F4000D">
              <w:rPr>
                <w:rFonts w:asciiTheme="majorHAnsi" w:hAnsiTheme="majorHAnsi" w:cstheme="majorHAnsi"/>
                <w:color w:val="000000" w:themeColor="text1"/>
                <w:sz w:val="24"/>
                <w:szCs w:val="24"/>
                <w:lang w:val="pl-PL"/>
              </w:rPr>
              <w:t>Ozobotami</w:t>
            </w:r>
            <w:proofErr w:type="spellEnd"/>
            <w:r w:rsidRPr="00F4000D">
              <w:rPr>
                <w:rFonts w:asciiTheme="majorHAnsi" w:hAnsiTheme="majorHAnsi" w:cstheme="majorHAnsi"/>
                <w:color w:val="000000" w:themeColor="text1"/>
                <w:sz w:val="24"/>
                <w:szCs w:val="24"/>
                <w:lang w:val="pl-PL"/>
              </w:rPr>
              <w:t xml:space="preserve"> Bit lub równoważny</w:t>
            </w:r>
          </w:p>
        </w:tc>
        <w:tc>
          <w:tcPr>
            <w:tcW w:w="888" w:type="dxa"/>
          </w:tcPr>
          <w:p w14:paraId="7B62EB6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1CED96E0" w14:textId="1EC3DA35"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edukacyjny przeznaczony do prowadzenia zajęć z programowania i robotyki w edukacji wczesnoszkolnej i szkolnej. Powinien obejmować sześć robotów dydaktycznych przystosowanych do nauki kodowania poprzez pracę z trasami graficznymi i zadaniami sekwencyjnymi. Roboty powinny umożliwiać programowanie za pomocą kolorowych kodów oraz pracy z blokami poleceń w środowisku graficznym, wspierając rozwój myślenia logicznego, algorytmicznego oraz umiejętności rozwiązywania problemów. Zestaw powinien zawierać elementy umożliwiające układanie tras w formie puzzli lub innych modułowych komponentów wykorzystywanych w zadaniach offline, a także zestaw materiałów metodycznych, takich jak scenariusze zajęć lub karty pracy, wspierających nauczyciela w prowadzeniu lekcji. Produkt równoważny musi zapewniać takie same funkcjonalne możliwości dydaktyczne oraz umożliwiać realizację zajęć z zakresu programowania i edukacji STEAM w grupach uczniowskich</w:t>
            </w:r>
            <w:r w:rsidR="000D46BA">
              <w:rPr>
                <w:rFonts w:asciiTheme="majorHAnsi" w:hAnsiTheme="majorHAnsi" w:cstheme="majorHAnsi"/>
                <w:color w:val="000000" w:themeColor="text1"/>
                <w:sz w:val="24"/>
                <w:szCs w:val="24"/>
                <w:lang w:val="pl-PL"/>
              </w:rPr>
              <w:t>.</w:t>
            </w:r>
          </w:p>
        </w:tc>
      </w:tr>
      <w:tr w:rsidR="0055541E" w:rsidRPr="00F4000D" w14:paraId="57A035C3" w14:textId="77777777" w:rsidTr="00F4000D">
        <w:trPr>
          <w:jc w:val="center"/>
        </w:trPr>
        <w:tc>
          <w:tcPr>
            <w:tcW w:w="780" w:type="dxa"/>
          </w:tcPr>
          <w:p w14:paraId="65174BEE"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24</w:t>
            </w:r>
          </w:p>
        </w:tc>
        <w:tc>
          <w:tcPr>
            <w:tcW w:w="3115" w:type="dxa"/>
          </w:tcPr>
          <w:p w14:paraId="49C8CFB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Dłuta do linorytu/ gipsorytu (min. 10 szt. w zestawie)</w:t>
            </w:r>
          </w:p>
        </w:tc>
        <w:tc>
          <w:tcPr>
            <w:tcW w:w="888" w:type="dxa"/>
          </w:tcPr>
          <w:p w14:paraId="37D65D2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30</w:t>
            </w:r>
          </w:p>
        </w:tc>
        <w:tc>
          <w:tcPr>
            <w:tcW w:w="4873" w:type="dxa"/>
          </w:tcPr>
          <w:p w14:paraId="35C1672F" w14:textId="6B9848FC"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dłutek do linorytu składający się z co najmniej 10 narzędzi przeznaczonych do wykonywania prac graficznych w technice linorytu oraz do rzeźbienia w miękkich materiałach (np. linoleum, drewno miękkie, gips). Każde dłutko powinno posiadać:</w:t>
            </w:r>
            <w:r w:rsidRPr="00F4000D">
              <w:rPr>
                <w:rFonts w:asciiTheme="majorHAnsi" w:hAnsiTheme="majorHAnsi" w:cstheme="majorHAnsi"/>
                <w:color w:val="000000" w:themeColor="text1"/>
                <w:sz w:val="24"/>
                <w:szCs w:val="24"/>
                <w:lang w:val="pl-PL"/>
              </w:rPr>
              <w:br/>
              <w:t xml:space="preserve">ostrze wykonane ze stali o odpowiedniej twardości, umożliwiające precyzyjne żłobienie różnego typu linii i konturów; zestawy tego typu wykorzystywane są do precyzyjnych prac graficznych i rzeźbiarskich, drewnianą rękojeść, zapewniającą wygodny, pewny chwyt podczas </w:t>
            </w:r>
            <w:r w:rsidRPr="00F4000D">
              <w:rPr>
                <w:rFonts w:asciiTheme="majorHAnsi" w:hAnsiTheme="majorHAnsi" w:cstheme="majorHAnsi"/>
                <w:color w:val="000000" w:themeColor="text1"/>
                <w:sz w:val="24"/>
                <w:szCs w:val="24"/>
                <w:lang w:val="pl-PL"/>
              </w:rPr>
              <w:lastRenderedPageBreak/>
              <w:t>pracy, co jest standardem w zestawach dłutek do linorytu, zróżnicowane profile ostrzy (np. U</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kształtne, V</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kształtne, płaskie), pozwalające na tworzenie zarówno cienkich linii, jak i szerszych wyżłobień oraz detali</w:t>
            </w:r>
            <w:r w:rsidR="000D46BA">
              <w:rPr>
                <w:rFonts w:asciiTheme="majorHAnsi" w:hAnsiTheme="majorHAnsi" w:cstheme="majorHAnsi"/>
                <w:color w:val="000000" w:themeColor="text1"/>
                <w:sz w:val="24"/>
                <w:szCs w:val="24"/>
                <w:lang w:val="pl-PL"/>
              </w:rPr>
              <w:t>.</w:t>
            </w:r>
            <w:r w:rsidRPr="00F4000D">
              <w:rPr>
                <w:rFonts w:asciiTheme="majorHAnsi" w:hAnsiTheme="majorHAnsi" w:cstheme="majorHAnsi"/>
                <w:color w:val="000000" w:themeColor="text1"/>
                <w:sz w:val="24"/>
                <w:szCs w:val="24"/>
                <w:lang w:val="pl-PL"/>
              </w:rPr>
              <w:br/>
              <w:t>Zestaw powinien umożliwiać bezpieczną i precyzyjną pracę warsztatową oraz nadawać się zarówno do zastosowań amatorskich, edukacyjnych, jak i podstawowych prac profesjonalnych.</w:t>
            </w:r>
          </w:p>
        </w:tc>
      </w:tr>
      <w:tr w:rsidR="0055541E" w:rsidRPr="00F4000D" w14:paraId="3F18924A" w14:textId="77777777" w:rsidTr="00F4000D">
        <w:trPr>
          <w:jc w:val="center"/>
        </w:trPr>
        <w:tc>
          <w:tcPr>
            <w:tcW w:w="780" w:type="dxa"/>
          </w:tcPr>
          <w:p w14:paraId="383B62D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25</w:t>
            </w:r>
          </w:p>
        </w:tc>
        <w:tc>
          <w:tcPr>
            <w:tcW w:w="3115" w:type="dxa"/>
          </w:tcPr>
          <w:p w14:paraId="594AB1C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Farba drukarska</w:t>
            </w:r>
          </w:p>
        </w:tc>
        <w:tc>
          <w:tcPr>
            <w:tcW w:w="888" w:type="dxa"/>
          </w:tcPr>
          <w:p w14:paraId="2192446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20</w:t>
            </w:r>
          </w:p>
        </w:tc>
        <w:tc>
          <w:tcPr>
            <w:tcW w:w="4873" w:type="dxa"/>
          </w:tcPr>
          <w:p w14:paraId="035716F6"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Farba wodna do druku wypukłego, szybkoschnąca i kryjąca, w tubce 20 ml, kolor jasnoniebieski; przeznaczona do linorytu, stempli i technik graficznych, łatwo zmywalna wodą.</w:t>
            </w:r>
          </w:p>
        </w:tc>
      </w:tr>
      <w:tr w:rsidR="0055541E" w:rsidRPr="00F4000D" w14:paraId="412ED8AB" w14:textId="77777777" w:rsidTr="00F4000D">
        <w:trPr>
          <w:jc w:val="center"/>
        </w:trPr>
        <w:tc>
          <w:tcPr>
            <w:tcW w:w="780" w:type="dxa"/>
          </w:tcPr>
          <w:p w14:paraId="2CB1003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26</w:t>
            </w:r>
          </w:p>
        </w:tc>
        <w:tc>
          <w:tcPr>
            <w:tcW w:w="3115" w:type="dxa"/>
          </w:tcPr>
          <w:p w14:paraId="1D61337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Wałek do linorytu 100 mm</w:t>
            </w:r>
          </w:p>
        </w:tc>
        <w:tc>
          <w:tcPr>
            <w:tcW w:w="888" w:type="dxa"/>
          </w:tcPr>
          <w:p w14:paraId="34FF2F2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6</w:t>
            </w:r>
          </w:p>
        </w:tc>
        <w:tc>
          <w:tcPr>
            <w:tcW w:w="4873" w:type="dxa"/>
          </w:tcPr>
          <w:p w14:paraId="3CC08804"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Wałek gumowy do linorytu o szerokości 100 mm, przeznaczony do równomiernego nanoszenia farby drukarskiej na matryce w technice druku wypukłego (linoryt, stemple, odbitki na papierze lub tkaninach).</w:t>
            </w:r>
          </w:p>
        </w:tc>
      </w:tr>
      <w:tr w:rsidR="0055541E" w:rsidRPr="00F4000D" w14:paraId="50C6E7B6" w14:textId="77777777" w:rsidTr="00F4000D">
        <w:trPr>
          <w:jc w:val="center"/>
        </w:trPr>
        <w:tc>
          <w:tcPr>
            <w:tcW w:w="780" w:type="dxa"/>
          </w:tcPr>
          <w:p w14:paraId="3D3B027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27</w:t>
            </w:r>
          </w:p>
        </w:tc>
        <w:tc>
          <w:tcPr>
            <w:tcW w:w="3115" w:type="dxa"/>
          </w:tcPr>
          <w:p w14:paraId="1BD99F9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Płyta Linoleum 3mm 25x30 cm szare</w:t>
            </w:r>
          </w:p>
        </w:tc>
        <w:tc>
          <w:tcPr>
            <w:tcW w:w="888" w:type="dxa"/>
          </w:tcPr>
          <w:p w14:paraId="06CC24F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10</w:t>
            </w:r>
          </w:p>
        </w:tc>
        <w:tc>
          <w:tcPr>
            <w:tcW w:w="4873" w:type="dxa"/>
          </w:tcPr>
          <w:p w14:paraId="60B31203"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Płyta linoleum do linorytu o wymiarach co najmniej 25 × 30 cm i grubości 3 mm, w kolorze szarym. Wykonana z elastycznego, jednorodnego materiału o gładkiej powierzchni, przeznaczonego do wykonywania matryc w technikach druku wypukłego.</w:t>
            </w:r>
          </w:p>
        </w:tc>
      </w:tr>
      <w:tr w:rsidR="0055541E" w:rsidRPr="00F4000D" w14:paraId="76CCAC45" w14:textId="77777777" w:rsidTr="00F4000D">
        <w:trPr>
          <w:jc w:val="center"/>
        </w:trPr>
        <w:tc>
          <w:tcPr>
            <w:tcW w:w="780" w:type="dxa"/>
          </w:tcPr>
          <w:p w14:paraId="79B41D2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28</w:t>
            </w:r>
          </w:p>
        </w:tc>
        <w:tc>
          <w:tcPr>
            <w:tcW w:w="3115" w:type="dxa"/>
          </w:tcPr>
          <w:p w14:paraId="0DCFAB4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farb do szkła z konturówką</w:t>
            </w:r>
          </w:p>
        </w:tc>
        <w:tc>
          <w:tcPr>
            <w:tcW w:w="888" w:type="dxa"/>
          </w:tcPr>
          <w:p w14:paraId="72E98BBE"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5</w:t>
            </w:r>
          </w:p>
        </w:tc>
        <w:tc>
          <w:tcPr>
            <w:tcW w:w="4873" w:type="dxa"/>
          </w:tcPr>
          <w:p w14:paraId="04A2DB88"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farb witrażowych do szkła i porcelany: ≥ 6 kolorów po 10 ml każdy, konturówka min. 15 ml, rozcieńczalnik/</w:t>
            </w:r>
            <w:proofErr w:type="spellStart"/>
            <w:r w:rsidRPr="00F4000D">
              <w:rPr>
                <w:rFonts w:asciiTheme="majorHAnsi" w:hAnsiTheme="majorHAnsi" w:cstheme="majorHAnsi"/>
                <w:color w:val="000000" w:themeColor="text1"/>
                <w:sz w:val="24"/>
                <w:szCs w:val="24"/>
                <w:lang w:val="pl-PL"/>
              </w:rPr>
              <w:t>cleaner</w:t>
            </w:r>
            <w:proofErr w:type="spellEnd"/>
            <w:r w:rsidRPr="00F4000D">
              <w:rPr>
                <w:rFonts w:asciiTheme="majorHAnsi" w:hAnsiTheme="majorHAnsi" w:cstheme="majorHAnsi"/>
                <w:color w:val="000000" w:themeColor="text1"/>
                <w:sz w:val="24"/>
                <w:szCs w:val="24"/>
                <w:lang w:val="pl-PL"/>
              </w:rPr>
              <w:t xml:space="preserve"> min. 10 ml. Czas schnięcia powierzchniowego: ≤ 60 min, pełne utwardzenie: ≤ 24 h (w temp. pokojowej). Farby kryjące/szybkoschnące, po wyschnięciu odporne na dotyk i suchą pielęgnację; możliwość mycia ręcznego po pełnym utwardzeniu (bez namaczania i szorowania). Nietoksyczne w rozumieniu przeznaczenia szkolnego, z oznaczeniami bezpieczeństwa producenta.</w:t>
            </w:r>
            <w:r w:rsidRPr="00F4000D">
              <w:rPr>
                <w:rFonts w:asciiTheme="majorHAnsi" w:hAnsiTheme="majorHAnsi" w:cstheme="majorHAnsi"/>
                <w:color w:val="000000" w:themeColor="text1"/>
                <w:sz w:val="24"/>
                <w:szCs w:val="24"/>
                <w:lang w:val="pl-PL"/>
              </w:rPr>
              <w:br/>
              <w:t>Równoważność: dopuszcza się farby innych producentów o porównywalnych parametrach (liczba kolorów, pojemność, konturówka, proces schnięcia, odporność użytkowa).</w:t>
            </w:r>
          </w:p>
        </w:tc>
      </w:tr>
      <w:tr w:rsidR="0055541E" w:rsidRPr="00F4000D" w14:paraId="1382EAC1" w14:textId="77777777" w:rsidTr="00F4000D">
        <w:trPr>
          <w:jc w:val="center"/>
        </w:trPr>
        <w:tc>
          <w:tcPr>
            <w:tcW w:w="780" w:type="dxa"/>
          </w:tcPr>
          <w:p w14:paraId="24F9D84A"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29</w:t>
            </w:r>
          </w:p>
        </w:tc>
        <w:tc>
          <w:tcPr>
            <w:tcW w:w="3115" w:type="dxa"/>
          </w:tcPr>
          <w:p w14:paraId="1FEB671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Mapa ścienna Ziemie polskie </w:t>
            </w:r>
            <w:r w:rsidRPr="00F4000D">
              <w:rPr>
                <w:rFonts w:asciiTheme="majorHAnsi" w:hAnsiTheme="majorHAnsi" w:cstheme="majorHAnsi"/>
                <w:color w:val="000000" w:themeColor="text1"/>
                <w:sz w:val="24"/>
                <w:szCs w:val="24"/>
                <w:lang w:val="pl-PL"/>
              </w:rPr>
              <w:lastRenderedPageBreak/>
              <w:t>za Władysława Łokietka i Kazimierza Wielkiego</w:t>
            </w:r>
          </w:p>
        </w:tc>
        <w:tc>
          <w:tcPr>
            <w:tcW w:w="888" w:type="dxa"/>
          </w:tcPr>
          <w:p w14:paraId="24DE15BA"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2</w:t>
            </w:r>
          </w:p>
        </w:tc>
        <w:tc>
          <w:tcPr>
            <w:tcW w:w="4873" w:type="dxa"/>
          </w:tcPr>
          <w:p w14:paraId="76F44188" w14:textId="4C34E8FA"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Ścienna mapa historyczna o wymiarach co </w:t>
            </w:r>
            <w:r w:rsidRPr="00F4000D">
              <w:rPr>
                <w:rFonts w:asciiTheme="majorHAnsi" w:hAnsiTheme="majorHAnsi" w:cstheme="majorHAnsi"/>
                <w:color w:val="000000" w:themeColor="text1"/>
                <w:sz w:val="24"/>
                <w:szCs w:val="24"/>
                <w:lang w:val="pl-PL"/>
              </w:rPr>
              <w:lastRenderedPageBreak/>
              <w:t>najmniej 160 × 120 cm, w skali co najmniej 1 : 880 000, laminowana i oprawiona w drewniane półwałki; przedstawia ziemie polskie za Łokietka i Kazimierza Wielkiego, wyprawy na Ruś, najazdy obcych wojsk, zamki i miasta obwarowane, mapę boczną okresu Łokietka oraz kalendarium wydarzeń</w:t>
            </w:r>
            <w:r w:rsidR="000D46BA">
              <w:rPr>
                <w:rFonts w:asciiTheme="majorHAnsi" w:hAnsiTheme="majorHAnsi" w:cstheme="majorHAnsi"/>
                <w:color w:val="000000" w:themeColor="text1"/>
                <w:sz w:val="24"/>
                <w:szCs w:val="24"/>
                <w:lang w:val="pl-PL"/>
              </w:rPr>
              <w:t>.</w:t>
            </w:r>
          </w:p>
        </w:tc>
      </w:tr>
      <w:tr w:rsidR="0055541E" w:rsidRPr="00F4000D" w14:paraId="58C8F938" w14:textId="77777777" w:rsidTr="00F4000D">
        <w:trPr>
          <w:jc w:val="center"/>
        </w:trPr>
        <w:tc>
          <w:tcPr>
            <w:tcW w:w="780" w:type="dxa"/>
          </w:tcPr>
          <w:p w14:paraId="2074BA9E"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30</w:t>
            </w:r>
          </w:p>
        </w:tc>
        <w:tc>
          <w:tcPr>
            <w:tcW w:w="3115" w:type="dxa"/>
          </w:tcPr>
          <w:p w14:paraId="39280455"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Historia Polski. Graficzne karty pracy. Klasa 4-5</w:t>
            </w:r>
          </w:p>
        </w:tc>
        <w:tc>
          <w:tcPr>
            <w:tcW w:w="888" w:type="dxa"/>
          </w:tcPr>
          <w:p w14:paraId="4F3B0EEA"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27B7FF46"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kart pracy wspierających naukę historii Polski na poziomie klasy szóstej. Materiały powinny obejmować zagadnienia przewidziane w programie nauczania tego etapu, w tym treści dotyczące wybranych wydarzeń, procesów i postaci z dziejów nowożytnych. Karty powinny zawierać zadania graficzne i tekstowe umożliwiające analizę źródeł, ćwiczenie myślenia </w:t>
            </w:r>
            <w:proofErr w:type="spellStart"/>
            <w:r w:rsidRPr="00F4000D">
              <w:rPr>
                <w:rFonts w:asciiTheme="majorHAnsi" w:hAnsiTheme="majorHAnsi" w:cstheme="majorHAnsi"/>
                <w:color w:val="000000" w:themeColor="text1"/>
                <w:sz w:val="24"/>
                <w:szCs w:val="24"/>
                <w:lang w:val="pl-PL"/>
              </w:rPr>
              <w:t>przyczynowo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skutkowego</w:t>
            </w:r>
            <w:proofErr w:type="spellEnd"/>
            <w:r w:rsidRPr="00F4000D">
              <w:rPr>
                <w:rFonts w:asciiTheme="majorHAnsi" w:hAnsiTheme="majorHAnsi" w:cstheme="majorHAnsi"/>
                <w:color w:val="000000" w:themeColor="text1"/>
                <w:sz w:val="24"/>
                <w:szCs w:val="24"/>
                <w:lang w:val="pl-PL"/>
              </w:rPr>
              <w:t xml:space="preserve"> oraz utrwalanie wiedzy. Zestaw musi nadawać się do wykorzystania podczas lekcji, w edukacji domowej i w samodzielnej pracy ucznia. Produkt równoważny powinien zapewniać analogiczne funkcjonalne możliwości dydaktyczne.</w:t>
            </w:r>
          </w:p>
        </w:tc>
      </w:tr>
      <w:tr w:rsidR="0055541E" w:rsidRPr="00F4000D" w14:paraId="5184AA31" w14:textId="77777777" w:rsidTr="00F4000D">
        <w:trPr>
          <w:jc w:val="center"/>
        </w:trPr>
        <w:tc>
          <w:tcPr>
            <w:tcW w:w="780" w:type="dxa"/>
          </w:tcPr>
          <w:p w14:paraId="310DBC8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31</w:t>
            </w:r>
          </w:p>
        </w:tc>
        <w:tc>
          <w:tcPr>
            <w:tcW w:w="3115" w:type="dxa"/>
          </w:tcPr>
          <w:p w14:paraId="7707339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Historia Polski. Graficzne karty pracy. Klasa 6</w:t>
            </w:r>
          </w:p>
        </w:tc>
        <w:tc>
          <w:tcPr>
            <w:tcW w:w="888" w:type="dxa"/>
          </w:tcPr>
          <w:p w14:paraId="6A52A41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7F6E9CDC"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kart pracy przeznaczonych do realizacji treści historii Polski w klasie siódmej. Materiał powinien obejmować zagadnienia charakterystyczne dla tego poziomu nauczania, w tym tematykę przemian społecznych, politycznych i kulturowych od epoki rozbiorów do okresu międzywojennego. Karty powinny wykorzystywać elementy wizualne i zadania problemowe wspierające analizę wydarzeń historycznych, kształcenie umiejętności interpretacji źródeł oraz rozwijanie świadomości historycznej uczniów. Zestaw musi nadawać się do użycia na lekcji oraz w pracy samodzielnej. Produkt równoważny musi zapewniać porównywalną funkcjonalność dydaktyczną.</w:t>
            </w:r>
          </w:p>
        </w:tc>
      </w:tr>
      <w:tr w:rsidR="0055541E" w:rsidRPr="00F4000D" w14:paraId="53CA920D" w14:textId="77777777" w:rsidTr="00F4000D">
        <w:trPr>
          <w:jc w:val="center"/>
        </w:trPr>
        <w:tc>
          <w:tcPr>
            <w:tcW w:w="780" w:type="dxa"/>
          </w:tcPr>
          <w:p w14:paraId="698206D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32</w:t>
            </w:r>
          </w:p>
        </w:tc>
        <w:tc>
          <w:tcPr>
            <w:tcW w:w="3115" w:type="dxa"/>
          </w:tcPr>
          <w:p w14:paraId="3C4C8B25"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Historia Polski. Graficzne karty pracy dla klasy 7</w:t>
            </w:r>
          </w:p>
        </w:tc>
        <w:tc>
          <w:tcPr>
            <w:tcW w:w="888" w:type="dxa"/>
          </w:tcPr>
          <w:p w14:paraId="5F82D0A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388B51B6"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kart pracy do nauki historii powszechnej na poziomie klas 4–5. Materiał powinien obejmować treści dotyczące najważniejszych cywilizacji i epok, od prehistorii, przez starożytność, aż po średniowiecze. Karty powinny wykorzystywać </w:t>
            </w:r>
            <w:r w:rsidRPr="00F4000D">
              <w:rPr>
                <w:rFonts w:asciiTheme="majorHAnsi" w:hAnsiTheme="majorHAnsi" w:cstheme="majorHAnsi"/>
                <w:color w:val="000000" w:themeColor="text1"/>
                <w:sz w:val="24"/>
                <w:szCs w:val="24"/>
                <w:lang w:val="pl-PL"/>
              </w:rPr>
              <w:lastRenderedPageBreak/>
              <w:t>elementy graficzne ułatwiające uczniom rozumienie chronologii, kultury, życia społecznego oraz podstawowych procesów historycznych. Zestaw musi umożliwiać pracę na lekcji, w edukacji domowej i podczas powtarzania materiału. Produkt równoważny powinien służyć tym samym celom dydaktycznym.</w:t>
            </w:r>
          </w:p>
        </w:tc>
      </w:tr>
      <w:tr w:rsidR="0055541E" w:rsidRPr="00F4000D" w14:paraId="6E142575" w14:textId="77777777" w:rsidTr="00F4000D">
        <w:trPr>
          <w:jc w:val="center"/>
        </w:trPr>
        <w:tc>
          <w:tcPr>
            <w:tcW w:w="780" w:type="dxa"/>
          </w:tcPr>
          <w:p w14:paraId="1D51DBE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33</w:t>
            </w:r>
          </w:p>
        </w:tc>
        <w:tc>
          <w:tcPr>
            <w:tcW w:w="3115" w:type="dxa"/>
          </w:tcPr>
          <w:p w14:paraId="42732169" w14:textId="77777777" w:rsid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Historia powszechna. </w:t>
            </w:r>
          </w:p>
          <w:p w14:paraId="686D3ACD" w14:textId="24DA9B5C"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Graficzne karty </w:t>
            </w:r>
            <w:r w:rsidR="000D46BA">
              <w:rPr>
                <w:rFonts w:asciiTheme="majorHAnsi" w:hAnsiTheme="majorHAnsi" w:cstheme="majorHAnsi"/>
                <w:color w:val="000000" w:themeColor="text1"/>
                <w:sz w:val="24"/>
                <w:szCs w:val="24"/>
                <w:lang w:val="pl-PL"/>
              </w:rPr>
              <w:t>p</w:t>
            </w:r>
            <w:r w:rsidRPr="00F4000D">
              <w:rPr>
                <w:rFonts w:asciiTheme="majorHAnsi" w:hAnsiTheme="majorHAnsi" w:cstheme="majorHAnsi"/>
                <w:color w:val="000000" w:themeColor="text1"/>
                <w:sz w:val="24"/>
                <w:szCs w:val="24"/>
                <w:lang w:val="pl-PL"/>
              </w:rPr>
              <w:t>racy dla klas 4-5</w:t>
            </w:r>
          </w:p>
        </w:tc>
        <w:tc>
          <w:tcPr>
            <w:tcW w:w="888" w:type="dxa"/>
          </w:tcPr>
          <w:p w14:paraId="4175B22C"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5B412ACF"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kart pracy wspierających naukę historii powszechnej w klasie szóstej. Materiały powinny obejmować treści dotyczące przemian społecznych, politycznych i kulturowych od przełomu średniowiecza i nowożytności do początków XIX wieku. Karty powinny zawierać ćwiczenia o charakterze wizualnym i analitycznym, ułatwiające przyswajanie zagadnień takich jak odkrycia geograficzne, renesans, reformacja, oświecenie czy rewolucja francuska. Zestaw musi umożliwiać pracę dydaktyczną w klasie oraz samodzielne utrwalanie wiedzy przez ucznia. Produkt równoważny powinien oferować takie same funkcjonalne możliwości edukacyjne.</w:t>
            </w:r>
          </w:p>
        </w:tc>
      </w:tr>
      <w:tr w:rsidR="0055541E" w:rsidRPr="00F4000D" w14:paraId="3FEB9EF2" w14:textId="77777777" w:rsidTr="00F4000D">
        <w:trPr>
          <w:jc w:val="center"/>
        </w:trPr>
        <w:tc>
          <w:tcPr>
            <w:tcW w:w="780" w:type="dxa"/>
          </w:tcPr>
          <w:p w14:paraId="15EDE6A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34</w:t>
            </w:r>
          </w:p>
        </w:tc>
        <w:tc>
          <w:tcPr>
            <w:tcW w:w="3115" w:type="dxa"/>
          </w:tcPr>
          <w:p w14:paraId="4884FF2E" w14:textId="77777777" w:rsid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Historia powszechna. </w:t>
            </w:r>
          </w:p>
          <w:p w14:paraId="62B74759" w14:textId="1DE3D592"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Graficzne karty pracy dla klas 6</w:t>
            </w:r>
          </w:p>
        </w:tc>
        <w:tc>
          <w:tcPr>
            <w:tcW w:w="888" w:type="dxa"/>
          </w:tcPr>
          <w:p w14:paraId="2C390CA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23A65A86" w14:textId="7186D868"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kart pracy przeznaczony do nauki historii powszechnej w klasie szóstej szkoły podstawowej. Materiały powinny obejmować treści dotyczące przemian społecznych, kulturowych i politycznych od przełomu średniowiecza i nowożytności do początku XIX wieku, w tym zagadnienia związane z odkryciami geograficznymi, rozwojem kultury i nauki, reformami religijnymi, przemianami ustrojowymi w Europie oraz kluczowymi wydarzeniami epoki nowożytnej. Karty powinny mieć formę ćwiczeń graficznych i tekstowych, ułatwiających analizę wydarzeń historycznych, pracę z materiałem źródłowym oraz rozwijających myślenie </w:t>
            </w:r>
            <w:proofErr w:type="spellStart"/>
            <w:r w:rsidRPr="00F4000D">
              <w:rPr>
                <w:rFonts w:asciiTheme="majorHAnsi" w:hAnsiTheme="majorHAnsi" w:cstheme="majorHAnsi"/>
                <w:color w:val="000000" w:themeColor="text1"/>
                <w:sz w:val="24"/>
                <w:szCs w:val="24"/>
                <w:lang w:val="pl-PL"/>
              </w:rPr>
              <w:t>przyczynowo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skutkowe</w:t>
            </w:r>
            <w:proofErr w:type="spellEnd"/>
            <w:r w:rsidRPr="00F4000D">
              <w:rPr>
                <w:rFonts w:asciiTheme="majorHAnsi" w:hAnsiTheme="majorHAnsi" w:cstheme="majorHAnsi"/>
                <w:color w:val="000000" w:themeColor="text1"/>
                <w:sz w:val="24"/>
                <w:szCs w:val="24"/>
                <w:lang w:val="pl-PL"/>
              </w:rPr>
              <w:t>. Zestaw musi być odpowiedni do pracy w klasie, w edukacji domowej oraz do samodzielnego utrwalania treści. Produkt równoważny powinien zapewniać porównywalne możliwości dydaktyczne</w:t>
            </w:r>
            <w:r w:rsidR="000D46BA">
              <w:rPr>
                <w:rFonts w:asciiTheme="majorHAnsi" w:hAnsiTheme="majorHAnsi" w:cstheme="majorHAnsi"/>
                <w:color w:val="000000" w:themeColor="text1"/>
                <w:sz w:val="24"/>
                <w:szCs w:val="24"/>
                <w:lang w:val="pl-PL"/>
              </w:rPr>
              <w:t>.</w:t>
            </w:r>
          </w:p>
        </w:tc>
      </w:tr>
      <w:tr w:rsidR="0055541E" w:rsidRPr="00F4000D" w14:paraId="0363BF1A" w14:textId="77777777" w:rsidTr="00F4000D">
        <w:trPr>
          <w:jc w:val="center"/>
        </w:trPr>
        <w:tc>
          <w:tcPr>
            <w:tcW w:w="780" w:type="dxa"/>
          </w:tcPr>
          <w:p w14:paraId="4D3D82B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35</w:t>
            </w:r>
          </w:p>
        </w:tc>
        <w:tc>
          <w:tcPr>
            <w:tcW w:w="3115" w:type="dxa"/>
          </w:tcPr>
          <w:p w14:paraId="4BCC169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Piłki do piłki nożnej</w:t>
            </w:r>
          </w:p>
        </w:tc>
        <w:tc>
          <w:tcPr>
            <w:tcW w:w="888" w:type="dxa"/>
          </w:tcPr>
          <w:p w14:paraId="6F8BB1F0"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20</w:t>
            </w:r>
          </w:p>
        </w:tc>
        <w:tc>
          <w:tcPr>
            <w:tcW w:w="4873" w:type="dxa"/>
          </w:tcPr>
          <w:p w14:paraId="5D363388" w14:textId="5D2912A1"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Piłka o rozmiarze 5. Rodzaj łączenia łat: szycie</w:t>
            </w:r>
            <w:r w:rsidR="000D46BA">
              <w:rPr>
                <w:rFonts w:asciiTheme="majorHAnsi" w:hAnsiTheme="majorHAnsi" w:cstheme="majorHAnsi"/>
                <w:color w:val="000000" w:themeColor="text1"/>
                <w:sz w:val="24"/>
                <w:szCs w:val="24"/>
                <w:lang w:val="pl-PL"/>
              </w:rPr>
              <w:t>.</w:t>
            </w:r>
          </w:p>
        </w:tc>
      </w:tr>
      <w:tr w:rsidR="0055541E" w:rsidRPr="00F4000D" w14:paraId="68681342" w14:textId="77777777" w:rsidTr="00F4000D">
        <w:trPr>
          <w:jc w:val="center"/>
        </w:trPr>
        <w:tc>
          <w:tcPr>
            <w:tcW w:w="780" w:type="dxa"/>
          </w:tcPr>
          <w:p w14:paraId="24A701FE"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36</w:t>
            </w:r>
          </w:p>
        </w:tc>
        <w:tc>
          <w:tcPr>
            <w:tcW w:w="3115" w:type="dxa"/>
          </w:tcPr>
          <w:p w14:paraId="360433E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Piłki do koszykówki</w:t>
            </w:r>
          </w:p>
        </w:tc>
        <w:tc>
          <w:tcPr>
            <w:tcW w:w="888" w:type="dxa"/>
          </w:tcPr>
          <w:p w14:paraId="5A491650"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10</w:t>
            </w:r>
          </w:p>
        </w:tc>
        <w:tc>
          <w:tcPr>
            <w:tcW w:w="4873" w:type="dxa"/>
          </w:tcPr>
          <w:p w14:paraId="40E9E7A2"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Piłka o rozmiarze 7. Wysokostandardowa guma przekłada się na trwałe akcesorium, które na długo zachowa swój wygląd i właściwości.</w:t>
            </w:r>
          </w:p>
        </w:tc>
      </w:tr>
      <w:tr w:rsidR="0055541E" w:rsidRPr="00F4000D" w14:paraId="61EB296B" w14:textId="77777777" w:rsidTr="00F4000D">
        <w:trPr>
          <w:jc w:val="center"/>
        </w:trPr>
        <w:tc>
          <w:tcPr>
            <w:tcW w:w="780" w:type="dxa"/>
          </w:tcPr>
          <w:p w14:paraId="7BB7A9E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37</w:t>
            </w:r>
          </w:p>
        </w:tc>
        <w:tc>
          <w:tcPr>
            <w:tcW w:w="3115" w:type="dxa"/>
          </w:tcPr>
          <w:p w14:paraId="4FFE2ECE"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Filc A4 min. 1 mm (zestaw min 10 szt.)</w:t>
            </w:r>
          </w:p>
        </w:tc>
        <w:tc>
          <w:tcPr>
            <w:tcW w:w="888" w:type="dxa"/>
          </w:tcPr>
          <w:p w14:paraId="6556628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70</w:t>
            </w:r>
          </w:p>
        </w:tc>
        <w:tc>
          <w:tcPr>
            <w:tcW w:w="4873" w:type="dxa"/>
          </w:tcPr>
          <w:p w14:paraId="3E0F0979"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arkuszy filcu dekoracyjnego w formacie A4. Grubość: 1,0 mm ±10%. Gramatura: ≥ 180 g/m². Skład: filc syntetyczny (np. poliester) bez ostrych włókien; krawędzie niekruszące się przy standardowym cięciu nożyczkami. Kolorystyka: ≥ 10 kolorów w zestawie (mix). Właściwości: materiał łatwy do cięcia, klejenia i przeszywania, bez woni drażniącej; nadruki nie są wymagane.</w:t>
            </w:r>
            <w:r w:rsidRPr="00F4000D">
              <w:rPr>
                <w:rFonts w:asciiTheme="majorHAnsi" w:hAnsiTheme="majorHAnsi" w:cstheme="majorHAnsi"/>
                <w:color w:val="000000" w:themeColor="text1"/>
                <w:sz w:val="24"/>
                <w:szCs w:val="24"/>
                <w:lang w:val="pl-PL"/>
              </w:rPr>
              <w:br/>
              <w:t xml:space="preserve">Równoważność: dopuszcza się dowolny filc o co najmniej ww. parametrach, zapewniający te same funkcje użytkowe (dekoracje, prace ręczne, szycie, </w:t>
            </w:r>
            <w:proofErr w:type="spellStart"/>
            <w:r w:rsidRPr="00F4000D">
              <w:rPr>
                <w:rFonts w:asciiTheme="majorHAnsi" w:hAnsiTheme="majorHAnsi" w:cstheme="majorHAnsi"/>
                <w:color w:val="000000" w:themeColor="text1"/>
                <w:sz w:val="24"/>
                <w:szCs w:val="24"/>
                <w:lang w:val="pl-PL"/>
              </w:rPr>
              <w:t>scrapbooking</w:t>
            </w:r>
            <w:proofErr w:type="spellEnd"/>
            <w:r w:rsidRPr="00F4000D">
              <w:rPr>
                <w:rFonts w:asciiTheme="majorHAnsi" w:hAnsiTheme="majorHAnsi" w:cstheme="majorHAnsi"/>
                <w:color w:val="000000" w:themeColor="text1"/>
                <w:sz w:val="24"/>
                <w:szCs w:val="24"/>
                <w:lang w:val="pl-PL"/>
              </w:rPr>
              <w:t>).</w:t>
            </w:r>
          </w:p>
        </w:tc>
      </w:tr>
      <w:tr w:rsidR="0055541E" w:rsidRPr="00F4000D" w14:paraId="61C33721" w14:textId="77777777" w:rsidTr="00F4000D">
        <w:trPr>
          <w:jc w:val="center"/>
        </w:trPr>
        <w:tc>
          <w:tcPr>
            <w:tcW w:w="780" w:type="dxa"/>
          </w:tcPr>
          <w:p w14:paraId="15A0CC2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38</w:t>
            </w:r>
          </w:p>
        </w:tc>
        <w:tc>
          <w:tcPr>
            <w:tcW w:w="3115" w:type="dxa"/>
          </w:tcPr>
          <w:p w14:paraId="54C3FB2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Kartki (brystol) kolorowe A2 gramatura: 160-170 g/m2</w:t>
            </w:r>
          </w:p>
        </w:tc>
        <w:tc>
          <w:tcPr>
            <w:tcW w:w="888" w:type="dxa"/>
          </w:tcPr>
          <w:p w14:paraId="7D87205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100</w:t>
            </w:r>
          </w:p>
        </w:tc>
        <w:tc>
          <w:tcPr>
            <w:tcW w:w="4873" w:type="dxa"/>
          </w:tcPr>
          <w:p w14:paraId="43EFCE1E"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Arkusze A2 (420×594 mm ±10%) w gramaturze 160–170 g/m² (±10 g). Wykończenie: matowe, niepowlekane, barwione w masie lub równoważne; odcień: mix min. 5 kolorów. Właściwości: odpowiedni do rysowania, wycinania, zadruku w kopiarkach/drukarkach atramentowych (pojedyncze arkusze), bez prześwitów typowych dla niższych gramatur.</w:t>
            </w:r>
            <w:r w:rsidRPr="00F4000D">
              <w:rPr>
                <w:rFonts w:asciiTheme="majorHAnsi" w:hAnsiTheme="majorHAnsi" w:cstheme="majorHAnsi"/>
                <w:color w:val="000000" w:themeColor="text1"/>
                <w:sz w:val="24"/>
                <w:szCs w:val="24"/>
                <w:lang w:val="pl-PL"/>
              </w:rPr>
              <w:br/>
              <w:t>Równoważność: dopuszcza się karton/brystol o ww. formacie i gramaturze, zapewniający porównywalną sztywność i użyteczność do prac plastycznych.</w:t>
            </w:r>
          </w:p>
        </w:tc>
      </w:tr>
      <w:tr w:rsidR="0055541E" w:rsidRPr="00F4000D" w14:paraId="239459DE" w14:textId="77777777" w:rsidTr="00F4000D">
        <w:trPr>
          <w:jc w:val="center"/>
        </w:trPr>
        <w:tc>
          <w:tcPr>
            <w:tcW w:w="780" w:type="dxa"/>
          </w:tcPr>
          <w:p w14:paraId="1926CBDA"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39</w:t>
            </w:r>
          </w:p>
        </w:tc>
        <w:tc>
          <w:tcPr>
            <w:tcW w:w="3115" w:type="dxa"/>
          </w:tcPr>
          <w:p w14:paraId="00671C0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„Teraz egzamin” Nowa Era Repetytorium</w:t>
            </w:r>
          </w:p>
        </w:tc>
        <w:tc>
          <w:tcPr>
            <w:tcW w:w="888" w:type="dxa"/>
          </w:tcPr>
          <w:p w14:paraId="0EAAE40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20</w:t>
            </w:r>
          </w:p>
        </w:tc>
        <w:tc>
          <w:tcPr>
            <w:tcW w:w="4873" w:type="dxa"/>
          </w:tcPr>
          <w:p w14:paraId="4CF9BB54"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Repetytorium przygotowujące uczniów klasy ósmej do egzaminu z języka angielskiego. Publikacja powinna obejmować zestaw materiałów ćwiczeniowych zgodnych z aktualnymi wymaganiami egzaminacyjnymi, zawierający zadania rozwijające wszystkie obszary oceniane na egzaminie, w tym rozumienie ze słuchu, rozumienie tekstów pisanych, funkcje językowe oraz tworzenie wypowiedzi pisemnej. Materiał powinien zawierać objaśnienia, wskazówki dotyczące rozwiązywania zadań, przykłady strategii egzaminacyjnych oraz zestawy zadań umożliwiające samodzielne utrwalanie wiedzy. Do części słuchowej powinien być zapewniony </w:t>
            </w:r>
            <w:r w:rsidRPr="00F4000D">
              <w:rPr>
                <w:rFonts w:asciiTheme="majorHAnsi" w:hAnsiTheme="majorHAnsi" w:cstheme="majorHAnsi"/>
                <w:color w:val="000000" w:themeColor="text1"/>
                <w:sz w:val="24"/>
                <w:szCs w:val="24"/>
                <w:lang w:val="pl-PL"/>
              </w:rPr>
              <w:lastRenderedPageBreak/>
              <w:t>dostęp do nagrań oraz transkrypcji. Publikacja musi umożliwiać uczniom przygotowanie do egzaminu poprzez ćwiczenia odzwierciedlające rzeczywistą formę arkusza oraz klucz odpowiedzi pozwalający na samodzielną kontrolę poprawności. Produkt równoważny musi zapewniać takie same funkcjonalne możliwości dydaktyczne.</w:t>
            </w:r>
          </w:p>
        </w:tc>
      </w:tr>
      <w:tr w:rsidR="0055541E" w:rsidRPr="00F4000D" w14:paraId="78FEA131" w14:textId="77777777" w:rsidTr="00F4000D">
        <w:trPr>
          <w:jc w:val="center"/>
        </w:trPr>
        <w:tc>
          <w:tcPr>
            <w:tcW w:w="780" w:type="dxa"/>
          </w:tcPr>
          <w:p w14:paraId="0D48693A"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40</w:t>
            </w:r>
          </w:p>
        </w:tc>
        <w:tc>
          <w:tcPr>
            <w:tcW w:w="3115" w:type="dxa"/>
          </w:tcPr>
          <w:p w14:paraId="2DF985CD" w14:textId="77777777" w:rsidR="00372C08" w:rsidRPr="00F4000D" w:rsidRDefault="000B756A" w:rsidP="000D46BA">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„Teraz egzamin” Nowa Era Arkusze</w:t>
            </w:r>
          </w:p>
        </w:tc>
        <w:tc>
          <w:tcPr>
            <w:tcW w:w="888" w:type="dxa"/>
          </w:tcPr>
          <w:p w14:paraId="588ED7F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20</w:t>
            </w:r>
          </w:p>
        </w:tc>
        <w:tc>
          <w:tcPr>
            <w:tcW w:w="4873" w:type="dxa"/>
          </w:tcPr>
          <w:p w14:paraId="7B013942"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materiałów ćwiczeniowych przeznaczonych do przygotowania uczniów klasy ósmej do egzaminu z języka angielskiego. Publikacja powinna zawierać kilka pełnych zestawów zadań odpowiadających aktualnej formule egzaminu oraz obowiązującym wymaganiom programowym. Materiał powinien obejmować zadania sprawdzające różne obszary egzaminacyjne, w tym rozumienie ze słuchu, rozumienie tekstów pisanych, znajomość funkcji językowych oraz tworzenie wypowiedzi pisemnej. Zestaw powinien zawierać wskazówki dotyczące rozwiązywania zadań oraz klucz odpowiedzi umożliwiający samodzielną weryfikację wyników. Do części słuchowej powinien być zapewniony dostęp do nagrań oraz ich transkrypcji. Publikacja musi umożliwiać ćwiczenie umiejętności niezbędnych na egzaminie, w tym pracy z arkuszem i stosowania strategii egzaminacyjnych. Produkt równoważny musi zapewniać takie same funkcjonalne możliwości dydaktyczne.</w:t>
            </w:r>
          </w:p>
        </w:tc>
      </w:tr>
      <w:tr w:rsidR="0055541E" w:rsidRPr="00F4000D" w14:paraId="6ADBD3C8" w14:textId="77777777" w:rsidTr="00F4000D">
        <w:trPr>
          <w:jc w:val="center"/>
        </w:trPr>
        <w:tc>
          <w:tcPr>
            <w:tcW w:w="780" w:type="dxa"/>
          </w:tcPr>
          <w:p w14:paraId="5B7ADD8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41</w:t>
            </w:r>
          </w:p>
        </w:tc>
        <w:tc>
          <w:tcPr>
            <w:tcW w:w="3115" w:type="dxa"/>
          </w:tcPr>
          <w:p w14:paraId="7D35620F" w14:textId="77777777" w:rsid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edukacyjny </w:t>
            </w:r>
          </w:p>
          <w:p w14:paraId="13920A5F" w14:textId="55D59156" w:rsidR="00372C08" w:rsidRPr="00F4000D" w:rsidRDefault="000B756A" w:rsidP="00F4000D">
            <w:pPr>
              <w:jc w:val="both"/>
              <w:rPr>
                <w:rFonts w:asciiTheme="majorHAnsi" w:hAnsiTheme="majorHAnsi" w:cstheme="majorHAnsi"/>
                <w:color w:val="000000" w:themeColor="text1"/>
                <w:sz w:val="24"/>
                <w:szCs w:val="24"/>
                <w:lang w:val="pl-PL"/>
              </w:rPr>
            </w:pPr>
            <w:proofErr w:type="spellStart"/>
            <w:r w:rsidRPr="00F4000D">
              <w:rPr>
                <w:rFonts w:asciiTheme="majorHAnsi" w:hAnsiTheme="majorHAnsi" w:cstheme="majorHAnsi"/>
                <w:color w:val="000000" w:themeColor="text1"/>
                <w:sz w:val="24"/>
                <w:szCs w:val="24"/>
                <w:lang w:val="pl-PL"/>
              </w:rPr>
              <w:t>Fonolandia</w:t>
            </w:r>
            <w:proofErr w:type="spellEnd"/>
            <w:r w:rsidRPr="00F4000D">
              <w:rPr>
                <w:rFonts w:asciiTheme="majorHAnsi" w:hAnsiTheme="majorHAnsi" w:cstheme="majorHAnsi"/>
                <w:color w:val="000000" w:themeColor="text1"/>
                <w:sz w:val="24"/>
                <w:szCs w:val="24"/>
                <w:lang w:val="pl-PL"/>
              </w:rPr>
              <w:t xml:space="preserve"> lub równoważny</w:t>
            </w:r>
          </w:p>
        </w:tc>
        <w:tc>
          <w:tcPr>
            <w:tcW w:w="888" w:type="dxa"/>
          </w:tcPr>
          <w:p w14:paraId="64A48F10"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18114DA1"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materiałów edukacyjnych przeznaczony do prowadzenia zajęć z dziećmi w klasach 1–3 szkoły podstawowej w zakresie bezpiecznego i odpowiedzialnego korzystania z mediów cyfrowych. Powinien obejmować materiały dla nauczyciela oraz materiały dla uczniów, umożliwiające realizację wielotematowych zajęć dotyczących korzystania z urządzeń mobilnych, </w:t>
            </w:r>
            <w:proofErr w:type="spellStart"/>
            <w:r w:rsidRPr="00F4000D">
              <w:rPr>
                <w:rFonts w:asciiTheme="majorHAnsi" w:hAnsiTheme="majorHAnsi" w:cstheme="majorHAnsi"/>
                <w:color w:val="000000" w:themeColor="text1"/>
                <w:sz w:val="24"/>
                <w:szCs w:val="24"/>
                <w:lang w:val="pl-PL"/>
              </w:rPr>
              <w:t>internetu</w:t>
            </w:r>
            <w:proofErr w:type="spellEnd"/>
            <w:r w:rsidRPr="00F4000D">
              <w:rPr>
                <w:rFonts w:asciiTheme="majorHAnsi" w:hAnsiTheme="majorHAnsi" w:cstheme="majorHAnsi"/>
                <w:color w:val="000000" w:themeColor="text1"/>
                <w:sz w:val="24"/>
                <w:szCs w:val="24"/>
                <w:lang w:val="pl-PL"/>
              </w:rPr>
              <w:t xml:space="preserve">, komunikacji cyfrowej oraz zagrożeń związanych z niewłaściwym używaniem nowych technologii. Zestaw powinien zawierać elementy takie jak: publikacje metodyczne i instruktażowe, </w:t>
            </w:r>
            <w:r w:rsidRPr="00F4000D">
              <w:rPr>
                <w:rFonts w:asciiTheme="majorHAnsi" w:hAnsiTheme="majorHAnsi" w:cstheme="majorHAnsi"/>
                <w:color w:val="000000" w:themeColor="text1"/>
                <w:sz w:val="24"/>
                <w:szCs w:val="24"/>
                <w:lang w:val="pl-PL"/>
              </w:rPr>
              <w:lastRenderedPageBreak/>
              <w:t>ćwiczenia dla uczniów, karty obrazkowe, plansze edukacyjne, pomoce do pracy na lekcji oraz materiały wspierające prowadzenie zajęć. Materiały powinny umożliwiać prowadzenie cyklu lekcji obejmującego różne zagadnienia związane z mediami cyfrowymi, w tym rozwijanie odpowiedzialności cyfrowej oraz umiejętności rozpoznawania i unikania zagrożeń online. Produkt równoważny musi zapewniać takie same funkcjonalne możliwości dydaktyczne, w tym możliwość realizacji zajęć profilaktyczno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wychowawczych z wykorzystaniem różnorodnych materiałów drukowanych i wizualnych.</w:t>
            </w:r>
          </w:p>
        </w:tc>
      </w:tr>
      <w:tr w:rsidR="0055541E" w:rsidRPr="00F4000D" w14:paraId="7BE6325C" w14:textId="77777777" w:rsidTr="00F4000D">
        <w:trPr>
          <w:jc w:val="center"/>
        </w:trPr>
        <w:tc>
          <w:tcPr>
            <w:tcW w:w="780" w:type="dxa"/>
          </w:tcPr>
          <w:p w14:paraId="0E5885A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42</w:t>
            </w:r>
          </w:p>
        </w:tc>
        <w:tc>
          <w:tcPr>
            <w:tcW w:w="3115" w:type="dxa"/>
          </w:tcPr>
          <w:p w14:paraId="750B79EE" w14:textId="77777777" w:rsidR="00372C08" w:rsidRPr="00F4000D" w:rsidRDefault="000B756A" w:rsidP="000D46BA">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Piłka gumowa w rozmiarze 20-25 cm</w:t>
            </w:r>
          </w:p>
        </w:tc>
        <w:tc>
          <w:tcPr>
            <w:tcW w:w="888" w:type="dxa"/>
          </w:tcPr>
          <w:p w14:paraId="545196B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20</w:t>
            </w:r>
          </w:p>
        </w:tc>
        <w:tc>
          <w:tcPr>
            <w:tcW w:w="4873" w:type="dxa"/>
          </w:tcPr>
          <w:p w14:paraId="5910FDD1" w14:textId="4F5002DF"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Gumowa piłka do gier i zabaw.</w:t>
            </w:r>
            <w:r w:rsidR="000D46BA">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Wykonana z miękkiego PCV, przyjemnego w dotyku i zapewniającego bezpieczeństwo podczas użytku.</w:t>
            </w:r>
            <w:r w:rsidR="000D46BA">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Średnica piłki 20-25 cm.</w:t>
            </w:r>
          </w:p>
        </w:tc>
      </w:tr>
      <w:tr w:rsidR="0055541E" w:rsidRPr="00F4000D" w14:paraId="22EAAAB5" w14:textId="77777777" w:rsidTr="00F4000D">
        <w:trPr>
          <w:jc w:val="center"/>
        </w:trPr>
        <w:tc>
          <w:tcPr>
            <w:tcW w:w="780" w:type="dxa"/>
          </w:tcPr>
          <w:p w14:paraId="4926E1C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43</w:t>
            </w:r>
          </w:p>
        </w:tc>
        <w:tc>
          <w:tcPr>
            <w:tcW w:w="3115" w:type="dxa"/>
          </w:tcPr>
          <w:p w14:paraId="73B0F1A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Stożki treningowe</w:t>
            </w:r>
          </w:p>
        </w:tc>
        <w:tc>
          <w:tcPr>
            <w:tcW w:w="888" w:type="dxa"/>
          </w:tcPr>
          <w:p w14:paraId="6633636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5C78D75B"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około 50 stożków treningowych. Stojak z dziurą w środku.</w:t>
            </w:r>
          </w:p>
        </w:tc>
      </w:tr>
      <w:tr w:rsidR="0055541E" w:rsidRPr="00F4000D" w14:paraId="18AF1675" w14:textId="77777777" w:rsidTr="00F4000D">
        <w:trPr>
          <w:jc w:val="center"/>
        </w:trPr>
        <w:tc>
          <w:tcPr>
            <w:tcW w:w="780" w:type="dxa"/>
          </w:tcPr>
          <w:p w14:paraId="1FA3A3C5"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44</w:t>
            </w:r>
          </w:p>
        </w:tc>
        <w:tc>
          <w:tcPr>
            <w:tcW w:w="3115" w:type="dxa"/>
          </w:tcPr>
          <w:p w14:paraId="63CE7104" w14:textId="77777777" w:rsidR="00372C08" w:rsidRPr="00F4000D" w:rsidRDefault="000B756A" w:rsidP="000D46BA">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Pachołek treningowy z otworami</w:t>
            </w:r>
          </w:p>
        </w:tc>
        <w:tc>
          <w:tcPr>
            <w:tcW w:w="888" w:type="dxa"/>
          </w:tcPr>
          <w:p w14:paraId="01D285FE"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30</w:t>
            </w:r>
          </w:p>
        </w:tc>
        <w:tc>
          <w:tcPr>
            <w:tcW w:w="4873" w:type="dxa"/>
          </w:tcPr>
          <w:p w14:paraId="046B0518"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Pachołek wolnostojący o wysokości około 38 cm z otworami, to sprzęt przydatny na treningach do gier i zabaw ruchowych, dodatkowe otwory umożliwiają zamontowanie tyczek gimnastycznych w poziomie lub pionie. Wykonany został z tworzywa sztucznego i nie posiada ostrych zakończeń dzięki czemu jest w pełni bezpieczny do zabaw z dziećmi.</w:t>
            </w:r>
          </w:p>
        </w:tc>
      </w:tr>
      <w:tr w:rsidR="0055541E" w:rsidRPr="00F4000D" w14:paraId="11A0380D" w14:textId="77777777" w:rsidTr="00F4000D">
        <w:trPr>
          <w:jc w:val="center"/>
        </w:trPr>
        <w:tc>
          <w:tcPr>
            <w:tcW w:w="780" w:type="dxa"/>
          </w:tcPr>
          <w:p w14:paraId="0FFD3B7A"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45</w:t>
            </w:r>
          </w:p>
        </w:tc>
        <w:tc>
          <w:tcPr>
            <w:tcW w:w="3115" w:type="dxa"/>
          </w:tcPr>
          <w:p w14:paraId="00DF734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Siatka do badmintona</w:t>
            </w:r>
          </w:p>
        </w:tc>
        <w:tc>
          <w:tcPr>
            <w:tcW w:w="888" w:type="dxa"/>
          </w:tcPr>
          <w:p w14:paraId="17566F2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5</w:t>
            </w:r>
          </w:p>
        </w:tc>
        <w:tc>
          <w:tcPr>
            <w:tcW w:w="4873" w:type="dxa"/>
          </w:tcPr>
          <w:p w14:paraId="69F25B2A" w14:textId="4B8AF256"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Minimalne wymiary:</w:t>
            </w:r>
            <w:r w:rsidR="00F4000D">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Wymiary ok.: 310 x 104 x 155 cm (dł. x gł. x wys.)</w:t>
            </w:r>
            <w:r w:rsidR="00F4000D">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Wymiar siatki: 310 x 76 cm (dł. x wys.)</w:t>
            </w:r>
            <w:r w:rsidR="000D46BA">
              <w:rPr>
                <w:rFonts w:asciiTheme="majorHAnsi" w:hAnsiTheme="majorHAnsi" w:cstheme="majorHAnsi"/>
                <w:color w:val="000000" w:themeColor="text1"/>
                <w:sz w:val="24"/>
                <w:szCs w:val="24"/>
                <w:lang w:val="pl-PL"/>
              </w:rPr>
              <w:t>.</w:t>
            </w:r>
          </w:p>
        </w:tc>
      </w:tr>
      <w:tr w:rsidR="0055541E" w:rsidRPr="00F4000D" w14:paraId="03A70B4F" w14:textId="77777777" w:rsidTr="00F4000D">
        <w:trPr>
          <w:jc w:val="center"/>
        </w:trPr>
        <w:tc>
          <w:tcPr>
            <w:tcW w:w="780" w:type="dxa"/>
          </w:tcPr>
          <w:p w14:paraId="4A9315F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46</w:t>
            </w:r>
          </w:p>
        </w:tc>
        <w:tc>
          <w:tcPr>
            <w:tcW w:w="3115" w:type="dxa"/>
          </w:tcPr>
          <w:p w14:paraId="07BDF335"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Rakietki do tenisa stołowego</w:t>
            </w:r>
          </w:p>
        </w:tc>
        <w:tc>
          <w:tcPr>
            <w:tcW w:w="888" w:type="dxa"/>
          </w:tcPr>
          <w:p w14:paraId="1D27E94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20</w:t>
            </w:r>
          </w:p>
        </w:tc>
        <w:tc>
          <w:tcPr>
            <w:tcW w:w="4873" w:type="dxa"/>
          </w:tcPr>
          <w:p w14:paraId="1A94C0AD" w14:textId="77777777" w:rsid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Rakietka dla zawodników, którzy rozpoczynają swoją przygodę z tenisem stołowym. </w:t>
            </w:r>
          </w:p>
          <w:p w14:paraId="2207CF10" w14:textId="209F4E8A" w:rsid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Minimalne parametry: </w:t>
            </w:r>
          </w:p>
          <w:p w14:paraId="3D5B213E" w14:textId="77777777" w:rsid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szybkość:10/100</w:t>
            </w:r>
            <w:r w:rsidRPr="00F4000D">
              <w:rPr>
                <w:rFonts w:asciiTheme="majorHAnsi" w:hAnsiTheme="majorHAnsi" w:cstheme="majorHAnsi"/>
                <w:color w:val="000000" w:themeColor="text1"/>
                <w:sz w:val="24"/>
                <w:szCs w:val="24"/>
                <w:lang w:val="pl-PL"/>
              </w:rPr>
              <w:br/>
              <w:t>rotacja:30/100</w:t>
            </w:r>
          </w:p>
          <w:p w14:paraId="1F2C5AE0" w14:textId="0BBC864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kontrola: 100/100</w:t>
            </w:r>
            <w:r w:rsidR="000D46BA">
              <w:rPr>
                <w:rFonts w:asciiTheme="majorHAnsi" w:hAnsiTheme="majorHAnsi" w:cstheme="majorHAnsi"/>
                <w:color w:val="000000" w:themeColor="text1"/>
                <w:sz w:val="24"/>
                <w:szCs w:val="24"/>
                <w:lang w:val="pl-PL"/>
              </w:rPr>
              <w:t>.</w:t>
            </w:r>
          </w:p>
        </w:tc>
      </w:tr>
      <w:tr w:rsidR="0055541E" w:rsidRPr="00F4000D" w14:paraId="3372CE28" w14:textId="77777777" w:rsidTr="00F4000D">
        <w:trPr>
          <w:jc w:val="center"/>
        </w:trPr>
        <w:tc>
          <w:tcPr>
            <w:tcW w:w="780" w:type="dxa"/>
          </w:tcPr>
          <w:p w14:paraId="3A699790"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47</w:t>
            </w:r>
          </w:p>
        </w:tc>
        <w:tc>
          <w:tcPr>
            <w:tcW w:w="3115" w:type="dxa"/>
          </w:tcPr>
          <w:p w14:paraId="7FE83C2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Piłka siatkowa</w:t>
            </w:r>
          </w:p>
        </w:tc>
        <w:tc>
          <w:tcPr>
            <w:tcW w:w="888" w:type="dxa"/>
          </w:tcPr>
          <w:p w14:paraId="0B59E53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20</w:t>
            </w:r>
          </w:p>
        </w:tc>
        <w:tc>
          <w:tcPr>
            <w:tcW w:w="4873" w:type="dxa"/>
          </w:tcPr>
          <w:p w14:paraId="682AA642" w14:textId="77777777" w:rsid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Przeznaczenie: siatkówka halowa</w:t>
            </w:r>
          </w:p>
          <w:p w14:paraId="3C3AF23A" w14:textId="77777777" w:rsid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Rozmiar:</w:t>
            </w:r>
            <w:r w:rsidR="00F4000D">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5</w:t>
            </w:r>
          </w:p>
          <w:p w14:paraId="12BB387D" w14:textId="2C7FB8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Materiał: skóra syntetyczna</w:t>
            </w:r>
            <w:r w:rsidR="000D46BA">
              <w:rPr>
                <w:rFonts w:asciiTheme="majorHAnsi" w:hAnsiTheme="majorHAnsi" w:cstheme="majorHAnsi"/>
                <w:color w:val="000000" w:themeColor="text1"/>
                <w:sz w:val="24"/>
                <w:szCs w:val="24"/>
                <w:lang w:val="pl-PL"/>
              </w:rPr>
              <w:t>.</w:t>
            </w:r>
          </w:p>
        </w:tc>
      </w:tr>
      <w:tr w:rsidR="0055541E" w:rsidRPr="00F4000D" w14:paraId="08B62316" w14:textId="77777777" w:rsidTr="00F4000D">
        <w:trPr>
          <w:jc w:val="center"/>
        </w:trPr>
        <w:tc>
          <w:tcPr>
            <w:tcW w:w="780" w:type="dxa"/>
          </w:tcPr>
          <w:p w14:paraId="565B979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48</w:t>
            </w:r>
          </w:p>
        </w:tc>
        <w:tc>
          <w:tcPr>
            <w:tcW w:w="3115" w:type="dxa"/>
          </w:tcPr>
          <w:p w14:paraId="12D36B80"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Gra logiczna smart Games IQ </w:t>
            </w:r>
            <w:proofErr w:type="spellStart"/>
            <w:r w:rsidRPr="00F4000D">
              <w:rPr>
                <w:rFonts w:asciiTheme="majorHAnsi" w:hAnsiTheme="majorHAnsi" w:cstheme="majorHAnsi"/>
                <w:color w:val="000000" w:themeColor="text1"/>
                <w:sz w:val="24"/>
                <w:szCs w:val="24"/>
                <w:lang w:val="pl-PL"/>
              </w:rPr>
              <w:t>Puzzer</w:t>
            </w:r>
            <w:proofErr w:type="spellEnd"/>
            <w:r w:rsidRPr="00F4000D">
              <w:rPr>
                <w:rFonts w:asciiTheme="majorHAnsi" w:hAnsiTheme="majorHAnsi" w:cstheme="majorHAnsi"/>
                <w:color w:val="000000" w:themeColor="text1"/>
                <w:sz w:val="24"/>
                <w:szCs w:val="24"/>
                <w:lang w:val="pl-PL"/>
              </w:rPr>
              <w:t xml:space="preserve"> Pro lub równoważna</w:t>
            </w:r>
          </w:p>
        </w:tc>
        <w:tc>
          <w:tcPr>
            <w:tcW w:w="888" w:type="dxa"/>
          </w:tcPr>
          <w:p w14:paraId="53CFD9B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67DF9DD0" w14:textId="3AD4844C"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Edukacyjna gra logiczna jednoosobowa, przeznaczona dla dzieci od 6 lat. Zawiera co najmniej 120 zadań wraz z rozwiązaniami, </w:t>
            </w:r>
            <w:r w:rsidRPr="00F4000D">
              <w:rPr>
                <w:rFonts w:asciiTheme="majorHAnsi" w:hAnsiTheme="majorHAnsi" w:cstheme="majorHAnsi"/>
                <w:color w:val="000000" w:themeColor="text1"/>
                <w:sz w:val="24"/>
                <w:szCs w:val="24"/>
                <w:lang w:val="pl-PL"/>
              </w:rPr>
              <w:lastRenderedPageBreak/>
              <w:t>umożliwia układanie w minimum trzech trybach (2D na płaskiej planszy, 2D na powierzchni nieregularnej oraz 3D). Wyposażona w co najmniej 12 elementów logicznych oraz kompaktową kasetę z pokrywą. Instrukcja w formie graficznej. Produkt równoważny musi spełniać wszystkie wymienione parametry</w:t>
            </w:r>
            <w:r w:rsidR="000D46BA">
              <w:rPr>
                <w:rFonts w:asciiTheme="majorHAnsi" w:hAnsiTheme="majorHAnsi" w:cstheme="majorHAnsi"/>
                <w:color w:val="000000" w:themeColor="text1"/>
                <w:sz w:val="24"/>
                <w:szCs w:val="24"/>
                <w:lang w:val="pl-PL"/>
              </w:rPr>
              <w:t>.</w:t>
            </w:r>
          </w:p>
        </w:tc>
      </w:tr>
      <w:tr w:rsidR="0055541E" w:rsidRPr="00F4000D" w14:paraId="1FBD109D" w14:textId="77777777" w:rsidTr="00F4000D">
        <w:trPr>
          <w:jc w:val="center"/>
        </w:trPr>
        <w:tc>
          <w:tcPr>
            <w:tcW w:w="780" w:type="dxa"/>
          </w:tcPr>
          <w:p w14:paraId="4E6CB365"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49</w:t>
            </w:r>
          </w:p>
        </w:tc>
        <w:tc>
          <w:tcPr>
            <w:tcW w:w="3115" w:type="dxa"/>
          </w:tcPr>
          <w:p w14:paraId="3B2B109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Gra logiczna smart Games IQ </w:t>
            </w:r>
            <w:proofErr w:type="spellStart"/>
            <w:r w:rsidRPr="00F4000D">
              <w:rPr>
                <w:rFonts w:asciiTheme="majorHAnsi" w:hAnsiTheme="majorHAnsi" w:cstheme="majorHAnsi"/>
                <w:color w:val="000000" w:themeColor="text1"/>
                <w:sz w:val="24"/>
                <w:szCs w:val="24"/>
                <w:lang w:val="pl-PL"/>
              </w:rPr>
              <w:t>Stixx</w:t>
            </w:r>
            <w:proofErr w:type="spellEnd"/>
            <w:r w:rsidRPr="00F4000D">
              <w:rPr>
                <w:rFonts w:asciiTheme="majorHAnsi" w:hAnsiTheme="majorHAnsi" w:cstheme="majorHAnsi"/>
                <w:color w:val="000000" w:themeColor="text1"/>
                <w:sz w:val="24"/>
                <w:szCs w:val="24"/>
                <w:lang w:val="pl-PL"/>
              </w:rPr>
              <w:t xml:space="preserve"> lub równoważna</w:t>
            </w:r>
          </w:p>
        </w:tc>
        <w:tc>
          <w:tcPr>
            <w:tcW w:w="888" w:type="dxa"/>
          </w:tcPr>
          <w:p w14:paraId="7E27739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4A89B3A1"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Edukacyjna gra logiczna jednoosobowa dla dzieci od 7 lat. Zawiera co najmniej 120 zadań o rosnącym poziomie trudności oraz książeczkę z rozwiązaniami. W skład zestawu wchodzi plansza z pokrywką (forma kompaktowa), co najmniej 10 elementów układanki (patyczków) różniących się kształtem lub oznaczeniami. Gra rozwija koncentrację, logiczne myślenie i umiejętność rozwiązywania problemów.</w:t>
            </w:r>
          </w:p>
        </w:tc>
      </w:tr>
      <w:tr w:rsidR="0055541E" w:rsidRPr="00F4000D" w14:paraId="78E530AE" w14:textId="77777777" w:rsidTr="00F4000D">
        <w:trPr>
          <w:jc w:val="center"/>
        </w:trPr>
        <w:tc>
          <w:tcPr>
            <w:tcW w:w="780" w:type="dxa"/>
          </w:tcPr>
          <w:p w14:paraId="33332ACE"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50</w:t>
            </w:r>
          </w:p>
        </w:tc>
        <w:tc>
          <w:tcPr>
            <w:tcW w:w="3115" w:type="dxa"/>
          </w:tcPr>
          <w:p w14:paraId="4CFDFD8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Gra zręcznościowa </w:t>
            </w:r>
            <w:proofErr w:type="spellStart"/>
            <w:r w:rsidRPr="00F4000D">
              <w:rPr>
                <w:rFonts w:asciiTheme="majorHAnsi" w:hAnsiTheme="majorHAnsi" w:cstheme="majorHAnsi"/>
                <w:color w:val="000000" w:themeColor="text1"/>
                <w:sz w:val="24"/>
                <w:szCs w:val="24"/>
                <w:lang w:val="pl-PL"/>
              </w:rPr>
              <w:t>Ubongo</w:t>
            </w:r>
            <w:proofErr w:type="spellEnd"/>
            <w:r w:rsidRPr="00F4000D">
              <w:rPr>
                <w:rFonts w:asciiTheme="majorHAnsi" w:hAnsiTheme="majorHAnsi" w:cstheme="majorHAnsi"/>
                <w:color w:val="000000" w:themeColor="text1"/>
                <w:sz w:val="24"/>
                <w:szCs w:val="24"/>
                <w:lang w:val="pl-PL"/>
              </w:rPr>
              <w:t xml:space="preserve"> 3D lub równoważna</w:t>
            </w:r>
          </w:p>
        </w:tc>
        <w:tc>
          <w:tcPr>
            <w:tcW w:w="888" w:type="dxa"/>
          </w:tcPr>
          <w:p w14:paraId="46F3CB9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11D6CF8E"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Gra logiczna dla 1–4 graczy od 8 lat, oparta na konstruowaniu dwuwarstwowych układanek 3D z przestrzennych klocków. Zawiera co najmniej 72 plansze z zadaniami, 32 klocki, zestaw klejnotów, klepsydrę, kostkę, plansze zadań i instrukcję. Gra oferuje cztery poziomy trudności i rozwija logiczne myślenie oraz orientację przestrzenną. Produkt równoważny musi spełniać wszystkie wymienione parametry.</w:t>
            </w:r>
          </w:p>
        </w:tc>
      </w:tr>
      <w:tr w:rsidR="0055541E" w:rsidRPr="00F4000D" w14:paraId="5F82CFBE" w14:textId="77777777" w:rsidTr="00F4000D">
        <w:trPr>
          <w:jc w:val="center"/>
        </w:trPr>
        <w:tc>
          <w:tcPr>
            <w:tcW w:w="780" w:type="dxa"/>
          </w:tcPr>
          <w:p w14:paraId="0B8988F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51</w:t>
            </w:r>
          </w:p>
        </w:tc>
        <w:tc>
          <w:tcPr>
            <w:tcW w:w="3115" w:type="dxa"/>
          </w:tcPr>
          <w:p w14:paraId="365801A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Gra zręcznościowa </w:t>
            </w:r>
            <w:proofErr w:type="spellStart"/>
            <w:r w:rsidRPr="00F4000D">
              <w:rPr>
                <w:rFonts w:asciiTheme="majorHAnsi" w:hAnsiTheme="majorHAnsi" w:cstheme="majorHAnsi"/>
                <w:color w:val="000000" w:themeColor="text1"/>
                <w:sz w:val="24"/>
                <w:szCs w:val="24"/>
                <w:lang w:val="pl-PL"/>
              </w:rPr>
              <w:t>Ubongo</w:t>
            </w:r>
            <w:proofErr w:type="spellEnd"/>
            <w:r w:rsidRPr="00F4000D">
              <w:rPr>
                <w:rFonts w:asciiTheme="majorHAnsi" w:hAnsiTheme="majorHAnsi" w:cstheme="majorHAnsi"/>
                <w:color w:val="000000" w:themeColor="text1"/>
                <w:sz w:val="24"/>
                <w:szCs w:val="24"/>
                <w:lang w:val="pl-PL"/>
              </w:rPr>
              <w:t xml:space="preserve"> 2D lub równoważna</w:t>
            </w:r>
          </w:p>
        </w:tc>
        <w:tc>
          <w:tcPr>
            <w:tcW w:w="888" w:type="dxa"/>
          </w:tcPr>
          <w:p w14:paraId="694578E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293B3591"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Gra logiczna dla 1–4 graczy od 8 lat, polegająca na szybkim układaniu elementów układanki w celu zakrycia wyznaczonego kształtu na planszy. Zawiera co najmniej 36 dwustronnych plansz z wieloma zróżnicowanymi zadaniami (minimum kilkaset układów) oraz zestaw co najmniej 48 elementów układanki o różnych kształtach. Gra oferuje co najmniej dwa poziomy trudności i rozwija logiczne myślenie, percepcję przestrzenną oraz refleks. Produkt równoważny musi spełniać wszystkie wymienione parametry.</w:t>
            </w:r>
          </w:p>
        </w:tc>
      </w:tr>
      <w:tr w:rsidR="0055541E" w:rsidRPr="00F4000D" w14:paraId="3B3E706A" w14:textId="77777777" w:rsidTr="00F4000D">
        <w:trPr>
          <w:jc w:val="center"/>
        </w:trPr>
        <w:tc>
          <w:tcPr>
            <w:tcW w:w="780" w:type="dxa"/>
          </w:tcPr>
          <w:p w14:paraId="3868A495"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52</w:t>
            </w:r>
          </w:p>
        </w:tc>
        <w:tc>
          <w:tcPr>
            <w:tcW w:w="3115" w:type="dxa"/>
          </w:tcPr>
          <w:p w14:paraId="217ECBF0" w14:textId="77777777" w:rsidR="00372C08" w:rsidRPr="00F4000D" w:rsidRDefault="000B756A" w:rsidP="00982048">
            <w:pPr>
              <w:rPr>
                <w:rFonts w:asciiTheme="majorHAnsi" w:hAnsiTheme="majorHAnsi" w:cstheme="majorHAnsi"/>
                <w:color w:val="000000" w:themeColor="text1"/>
                <w:sz w:val="24"/>
                <w:szCs w:val="24"/>
                <w:lang w:val="pl-PL"/>
              </w:rPr>
            </w:pPr>
            <w:proofErr w:type="spellStart"/>
            <w:r w:rsidRPr="00F4000D">
              <w:rPr>
                <w:rFonts w:asciiTheme="majorHAnsi" w:hAnsiTheme="majorHAnsi" w:cstheme="majorHAnsi"/>
                <w:color w:val="000000" w:themeColor="text1"/>
                <w:sz w:val="24"/>
                <w:szCs w:val="24"/>
                <w:lang w:val="pl-PL"/>
              </w:rPr>
              <w:t>spin</w:t>
            </w:r>
            <w:proofErr w:type="spellEnd"/>
            <w:r w:rsidRPr="00F4000D">
              <w:rPr>
                <w:rFonts w:asciiTheme="majorHAnsi" w:hAnsiTheme="majorHAnsi" w:cstheme="majorHAnsi"/>
                <w:color w:val="000000" w:themeColor="text1"/>
                <w:sz w:val="24"/>
                <w:szCs w:val="24"/>
                <w:lang w:val="pl-PL"/>
              </w:rPr>
              <w:t xml:space="preserve"> master </w:t>
            </w:r>
            <w:proofErr w:type="spellStart"/>
            <w:r w:rsidRPr="00F4000D">
              <w:rPr>
                <w:rFonts w:asciiTheme="majorHAnsi" w:hAnsiTheme="majorHAnsi" w:cstheme="majorHAnsi"/>
                <w:color w:val="000000" w:themeColor="text1"/>
                <w:sz w:val="24"/>
                <w:szCs w:val="24"/>
                <w:lang w:val="pl-PL"/>
              </w:rPr>
              <w:t>rubiks</w:t>
            </w:r>
            <w:proofErr w:type="spellEnd"/>
            <w:r w:rsidRPr="00F4000D">
              <w:rPr>
                <w:rFonts w:asciiTheme="majorHAnsi" w:hAnsiTheme="majorHAnsi" w:cstheme="majorHAnsi"/>
                <w:color w:val="000000" w:themeColor="text1"/>
                <w:sz w:val="24"/>
                <w:szCs w:val="24"/>
                <w:lang w:val="pl-PL"/>
              </w:rPr>
              <w:t xml:space="preserve"> Race Kostka Rubika lub równoważne</w:t>
            </w:r>
          </w:p>
        </w:tc>
        <w:tc>
          <w:tcPr>
            <w:tcW w:w="888" w:type="dxa"/>
          </w:tcPr>
          <w:p w14:paraId="1862679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122BF40E"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Gra logiczno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 xml:space="preserve">zręcznościowa dla 2 graczy od 7 lat. Polega na jak najszybszym odwzorowaniu układu 3×3 poprzez przesuwanie elementów na planszy. Zawiera dwustronną planszę/ramkę z torami przesuwu, co najmniej 48 płytek, </w:t>
            </w:r>
            <w:r w:rsidRPr="00F4000D">
              <w:rPr>
                <w:rFonts w:asciiTheme="majorHAnsi" w:hAnsiTheme="majorHAnsi" w:cstheme="majorHAnsi"/>
                <w:color w:val="000000" w:themeColor="text1"/>
                <w:sz w:val="24"/>
                <w:szCs w:val="24"/>
                <w:lang w:val="pl-PL"/>
              </w:rPr>
              <w:lastRenderedPageBreak/>
              <w:t>generator wzoru (mieszacz) oraz zestaw mini kostek do losowania układu. Rozwija refleks, spostrzegawczość i umiejętność szybkiego myślenia.</w:t>
            </w:r>
          </w:p>
        </w:tc>
      </w:tr>
      <w:tr w:rsidR="0055541E" w:rsidRPr="00F4000D" w14:paraId="11E76482" w14:textId="77777777" w:rsidTr="00F4000D">
        <w:trPr>
          <w:jc w:val="center"/>
        </w:trPr>
        <w:tc>
          <w:tcPr>
            <w:tcW w:w="780" w:type="dxa"/>
          </w:tcPr>
          <w:p w14:paraId="656B563E"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53</w:t>
            </w:r>
          </w:p>
        </w:tc>
        <w:tc>
          <w:tcPr>
            <w:tcW w:w="3115" w:type="dxa"/>
          </w:tcPr>
          <w:p w14:paraId="61D86A2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Gra logiczna </w:t>
            </w:r>
            <w:proofErr w:type="spellStart"/>
            <w:r w:rsidRPr="00F4000D">
              <w:rPr>
                <w:rFonts w:asciiTheme="majorHAnsi" w:hAnsiTheme="majorHAnsi" w:cstheme="majorHAnsi"/>
                <w:color w:val="000000" w:themeColor="text1"/>
                <w:sz w:val="24"/>
                <w:szCs w:val="24"/>
                <w:lang w:val="pl-PL"/>
              </w:rPr>
              <w:t>Cube</w:t>
            </w:r>
            <w:proofErr w:type="spellEnd"/>
            <w:r w:rsidRPr="00F4000D">
              <w:rPr>
                <w:rFonts w:asciiTheme="majorHAnsi" w:hAnsiTheme="majorHAnsi" w:cstheme="majorHAnsi"/>
                <w:color w:val="000000" w:themeColor="text1"/>
                <w:sz w:val="24"/>
                <w:szCs w:val="24"/>
                <w:lang w:val="pl-PL"/>
              </w:rPr>
              <w:t xml:space="preserve"> </w:t>
            </w:r>
            <w:proofErr w:type="spellStart"/>
            <w:r w:rsidRPr="00F4000D">
              <w:rPr>
                <w:rFonts w:asciiTheme="majorHAnsi" w:hAnsiTheme="majorHAnsi" w:cstheme="majorHAnsi"/>
                <w:color w:val="000000" w:themeColor="text1"/>
                <w:sz w:val="24"/>
                <w:szCs w:val="24"/>
                <w:lang w:val="pl-PL"/>
              </w:rPr>
              <w:t>puzzler</w:t>
            </w:r>
            <w:proofErr w:type="spellEnd"/>
            <w:r w:rsidRPr="00F4000D">
              <w:rPr>
                <w:rFonts w:asciiTheme="majorHAnsi" w:hAnsiTheme="majorHAnsi" w:cstheme="majorHAnsi"/>
                <w:color w:val="000000" w:themeColor="text1"/>
                <w:sz w:val="24"/>
                <w:szCs w:val="24"/>
                <w:lang w:val="pl-PL"/>
              </w:rPr>
              <w:t xml:space="preserve"> go lub równoważna</w:t>
            </w:r>
          </w:p>
        </w:tc>
        <w:tc>
          <w:tcPr>
            <w:tcW w:w="888" w:type="dxa"/>
          </w:tcPr>
          <w:p w14:paraId="466D4E0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6A567585"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Łamigłówka logiczna 3D przeznaczona dla 1 gracza od 7 lat. Zawiera co najmniej 80 zadań polegających na odwzorowaniu przestrzennych układów z wykorzystaniem zestawu elementów konstrukcyjnych. W skład gry wchodzą elementy 3D o zróżnicowanych kształtach, które należy dopasować do wzoru przedstawionego w zadaniu. Produkt rozwija logiczne myślenie, percepcję wzrokową oraz wyobraźnię przestrzenną.</w:t>
            </w:r>
          </w:p>
        </w:tc>
      </w:tr>
      <w:tr w:rsidR="0055541E" w:rsidRPr="00F4000D" w14:paraId="653173E3" w14:textId="77777777" w:rsidTr="00F4000D">
        <w:trPr>
          <w:jc w:val="center"/>
        </w:trPr>
        <w:tc>
          <w:tcPr>
            <w:tcW w:w="780" w:type="dxa"/>
          </w:tcPr>
          <w:p w14:paraId="750785F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54</w:t>
            </w:r>
          </w:p>
        </w:tc>
        <w:tc>
          <w:tcPr>
            <w:tcW w:w="3115" w:type="dxa"/>
          </w:tcPr>
          <w:p w14:paraId="3CAC7F5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Kostka Rubika gra logiczna</w:t>
            </w:r>
          </w:p>
        </w:tc>
        <w:tc>
          <w:tcPr>
            <w:tcW w:w="888" w:type="dxa"/>
          </w:tcPr>
          <w:p w14:paraId="409F436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38E9320A" w14:textId="28458E3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Gra logiczna dla 1–2 graczy, przeznaczona dla dzieci od 7 lat. Zawiera co najmniej 50 zadań polegających na odwzorowaniu wskazanego kształtu przy użyciu zestawu elementów konstrukcyjnych. Posiada co najmniej trzy poziomy trudności. Rozwija myślenie logiczne, percepcję przestrzenną, zdolność szybkiego reagowania oraz koordynację wzrokowo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ruchową. Produkt równoważny musi spełniać wszystkie wymienione parametry</w:t>
            </w:r>
            <w:r w:rsidR="00982048">
              <w:rPr>
                <w:rFonts w:asciiTheme="majorHAnsi" w:hAnsiTheme="majorHAnsi" w:cstheme="majorHAnsi"/>
                <w:color w:val="000000" w:themeColor="text1"/>
                <w:sz w:val="24"/>
                <w:szCs w:val="24"/>
                <w:lang w:val="pl-PL"/>
              </w:rPr>
              <w:t>.</w:t>
            </w:r>
          </w:p>
        </w:tc>
      </w:tr>
      <w:tr w:rsidR="0055541E" w:rsidRPr="00F4000D" w14:paraId="2AE72B7C" w14:textId="77777777" w:rsidTr="00F4000D">
        <w:trPr>
          <w:jc w:val="center"/>
        </w:trPr>
        <w:tc>
          <w:tcPr>
            <w:tcW w:w="780" w:type="dxa"/>
          </w:tcPr>
          <w:p w14:paraId="3537A58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55</w:t>
            </w:r>
          </w:p>
        </w:tc>
        <w:tc>
          <w:tcPr>
            <w:tcW w:w="3115" w:type="dxa"/>
          </w:tcPr>
          <w:p w14:paraId="32D6129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Puzzle Happy </w:t>
            </w:r>
            <w:proofErr w:type="spellStart"/>
            <w:r w:rsidRPr="00F4000D">
              <w:rPr>
                <w:rFonts w:asciiTheme="majorHAnsi" w:hAnsiTheme="majorHAnsi" w:cstheme="majorHAnsi"/>
                <w:color w:val="000000" w:themeColor="text1"/>
                <w:sz w:val="24"/>
                <w:szCs w:val="24"/>
                <w:lang w:val="pl-PL"/>
              </w:rPr>
              <w:t>Cube</w:t>
            </w:r>
            <w:proofErr w:type="spellEnd"/>
            <w:r w:rsidRPr="00F4000D">
              <w:rPr>
                <w:rFonts w:asciiTheme="majorHAnsi" w:hAnsiTheme="majorHAnsi" w:cstheme="majorHAnsi"/>
                <w:color w:val="000000" w:themeColor="text1"/>
                <w:sz w:val="24"/>
                <w:szCs w:val="24"/>
                <w:lang w:val="pl-PL"/>
              </w:rPr>
              <w:t xml:space="preserve"> </w:t>
            </w:r>
            <w:proofErr w:type="spellStart"/>
            <w:r w:rsidRPr="00F4000D">
              <w:rPr>
                <w:rFonts w:asciiTheme="majorHAnsi" w:hAnsiTheme="majorHAnsi" w:cstheme="majorHAnsi"/>
                <w:color w:val="000000" w:themeColor="text1"/>
                <w:sz w:val="24"/>
                <w:szCs w:val="24"/>
                <w:lang w:val="pl-PL"/>
              </w:rPr>
              <w:t>Expert</w:t>
            </w:r>
            <w:proofErr w:type="spellEnd"/>
            <w:r w:rsidRPr="00F4000D">
              <w:rPr>
                <w:rFonts w:asciiTheme="majorHAnsi" w:hAnsiTheme="majorHAnsi" w:cstheme="majorHAnsi"/>
                <w:color w:val="000000" w:themeColor="text1"/>
                <w:sz w:val="24"/>
                <w:szCs w:val="24"/>
                <w:lang w:val="pl-PL"/>
              </w:rPr>
              <w:t xml:space="preserve"> lub równoważne</w:t>
            </w:r>
          </w:p>
        </w:tc>
        <w:tc>
          <w:tcPr>
            <w:tcW w:w="888" w:type="dxa"/>
          </w:tcPr>
          <w:p w14:paraId="59952AC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4A9756BB"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Łamigłówka logiczna 3D przeznaczona dla dzieci od 7 lat. Składa się z zestawu elementów przestrzennych o nieregularnych kształtach, które należy połączyć w stabilną bryłę, np. sześcian. Rozwiązywanie polega na dopasowaniu wszystkich elementów w poprawnej konfiguracji, przy czym każda układanka zapewnia jeden poprawny sposób złożenia. Produkt rozwija logiczne myślenie, zdolności analityczne oraz wyobraźnię przestrzenną. Jako równoważne dopuszcza się dowolne łamigłówki 3D spełniające te same cechy funkcjonalne.</w:t>
            </w:r>
          </w:p>
        </w:tc>
      </w:tr>
      <w:tr w:rsidR="0055541E" w:rsidRPr="00F4000D" w14:paraId="1496FD60" w14:textId="77777777" w:rsidTr="00F4000D">
        <w:trPr>
          <w:jc w:val="center"/>
        </w:trPr>
        <w:tc>
          <w:tcPr>
            <w:tcW w:w="780" w:type="dxa"/>
          </w:tcPr>
          <w:p w14:paraId="017C0EF0"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56</w:t>
            </w:r>
          </w:p>
        </w:tc>
        <w:tc>
          <w:tcPr>
            <w:tcW w:w="3115" w:type="dxa"/>
          </w:tcPr>
          <w:p w14:paraId="0F55CD5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Puzzle Happy </w:t>
            </w:r>
            <w:proofErr w:type="spellStart"/>
            <w:r w:rsidRPr="00F4000D">
              <w:rPr>
                <w:rFonts w:asciiTheme="majorHAnsi" w:hAnsiTheme="majorHAnsi" w:cstheme="majorHAnsi"/>
                <w:color w:val="000000" w:themeColor="text1"/>
                <w:sz w:val="24"/>
                <w:szCs w:val="24"/>
                <w:lang w:val="pl-PL"/>
              </w:rPr>
              <w:t>Cube</w:t>
            </w:r>
            <w:proofErr w:type="spellEnd"/>
            <w:r w:rsidRPr="00F4000D">
              <w:rPr>
                <w:rFonts w:asciiTheme="majorHAnsi" w:hAnsiTheme="majorHAnsi" w:cstheme="majorHAnsi"/>
                <w:color w:val="000000" w:themeColor="text1"/>
                <w:sz w:val="24"/>
                <w:szCs w:val="24"/>
                <w:lang w:val="pl-PL"/>
              </w:rPr>
              <w:t xml:space="preserve"> Pro lub równoważne</w:t>
            </w:r>
          </w:p>
        </w:tc>
        <w:tc>
          <w:tcPr>
            <w:tcW w:w="888" w:type="dxa"/>
          </w:tcPr>
          <w:p w14:paraId="69B2D59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0CB84761"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Łamigłówka logiczna 3D przeznaczona dla dzieci od 7 lat. Zestaw składa się z elementów przestrzennych o zróżnicowanych kształtach, które po prawidłowym połączeniu tworzą stabilną bryłę, np. sześcian. Każda układanka posiada jedno poprawne rozwiązanie i wymaga </w:t>
            </w:r>
            <w:r w:rsidRPr="00F4000D">
              <w:rPr>
                <w:rFonts w:asciiTheme="majorHAnsi" w:hAnsiTheme="majorHAnsi" w:cstheme="majorHAnsi"/>
                <w:color w:val="000000" w:themeColor="text1"/>
                <w:sz w:val="24"/>
                <w:szCs w:val="24"/>
                <w:lang w:val="pl-PL"/>
              </w:rPr>
              <w:lastRenderedPageBreak/>
              <w:t>logicznego dopasowania wszystkich części. Produkt przeznaczony jest do rozwijania wyobraźni przestrzennej, myślenia analitycznego oraz koncentracji.</w:t>
            </w:r>
          </w:p>
        </w:tc>
      </w:tr>
      <w:tr w:rsidR="0055541E" w:rsidRPr="00F4000D" w14:paraId="7360D639" w14:textId="77777777" w:rsidTr="00F4000D">
        <w:trPr>
          <w:jc w:val="center"/>
        </w:trPr>
        <w:tc>
          <w:tcPr>
            <w:tcW w:w="780" w:type="dxa"/>
          </w:tcPr>
          <w:p w14:paraId="7F831AF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57</w:t>
            </w:r>
          </w:p>
        </w:tc>
        <w:tc>
          <w:tcPr>
            <w:tcW w:w="3115" w:type="dxa"/>
          </w:tcPr>
          <w:p w14:paraId="63AFA1A5"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Zegar do nauki odczytu godzin</w:t>
            </w:r>
          </w:p>
        </w:tc>
        <w:tc>
          <w:tcPr>
            <w:tcW w:w="888" w:type="dxa"/>
          </w:tcPr>
          <w:p w14:paraId="63D91E4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1B6B030D"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Analogowy zegar edukacyjny o średnicy co najmniej 30 cm, przeznaczony do nauki odczytu czasu. Posiada dużą, czytelną tarczę z wyraźnymi oznaczeniami godzin i minut oraz kolorowe, oznakowane wskazówki ułatwiające rozróżnienie godzin, minut i sekund. Wyposażony w mechanizm kwarcowy zasilany baterią i przeznaczony do montażu ściennego. Konstrukcja wykonana z bezpiecznych i trwałych materiałów. Produkt równoważny musi spełniać te same cechy funkcjonalne.</w:t>
            </w:r>
          </w:p>
        </w:tc>
      </w:tr>
      <w:tr w:rsidR="0055541E" w:rsidRPr="00F4000D" w14:paraId="39F1DBF9" w14:textId="77777777" w:rsidTr="00F4000D">
        <w:trPr>
          <w:jc w:val="center"/>
        </w:trPr>
        <w:tc>
          <w:tcPr>
            <w:tcW w:w="780" w:type="dxa"/>
          </w:tcPr>
          <w:p w14:paraId="6507340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58</w:t>
            </w:r>
          </w:p>
        </w:tc>
        <w:tc>
          <w:tcPr>
            <w:tcW w:w="3115" w:type="dxa"/>
          </w:tcPr>
          <w:p w14:paraId="6062E866"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dydaktyczny Metr sześcienny 3 profile decymetrowe + 9 profili</w:t>
            </w:r>
          </w:p>
        </w:tc>
        <w:tc>
          <w:tcPr>
            <w:tcW w:w="888" w:type="dxa"/>
          </w:tcPr>
          <w:p w14:paraId="4D7A695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6C274794"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dydaktyczny do demonstracji pojęcia metra sześciennego oraz zależności między jednostkami objętości. Pomoc składa się z elementów umożliwiających samodzielne zbudowanie przestrzennej konstrukcji przedstawiającej sześcian o objętości 1 m³ oraz elementów pomocniczych ilustrujących podział na decymetry sześcienne. Zestaw pozwala na wielokrotny montaż i demontaż konstrukcji oraz prowadzenie ćwiczeń praktycznych podczas lekcji matematyki. Wykonany z trwałych, bezpiecznych materiałów. Produkt równoważny musi zapewniać te same funkcjonalne możliwości dydaktyczne.</w:t>
            </w:r>
          </w:p>
        </w:tc>
      </w:tr>
      <w:tr w:rsidR="0055541E" w:rsidRPr="00F4000D" w14:paraId="732E6DCE" w14:textId="77777777" w:rsidTr="00F4000D">
        <w:trPr>
          <w:jc w:val="center"/>
        </w:trPr>
        <w:tc>
          <w:tcPr>
            <w:tcW w:w="780" w:type="dxa"/>
          </w:tcPr>
          <w:p w14:paraId="0E90A5D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59</w:t>
            </w:r>
          </w:p>
        </w:tc>
        <w:tc>
          <w:tcPr>
            <w:tcW w:w="3115" w:type="dxa"/>
          </w:tcPr>
          <w:p w14:paraId="5E360BE8"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Pomoc dydaktyczna Sześcian litrowy z klockami do demonstracji objętości</w:t>
            </w:r>
          </w:p>
        </w:tc>
        <w:tc>
          <w:tcPr>
            <w:tcW w:w="888" w:type="dxa"/>
          </w:tcPr>
          <w:p w14:paraId="5A7399F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1FE6C55E"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dydaktyczny służący do demonstracji pojęcia litra oraz zależności między jednostkami objętości. Składa się z elementów umożliwiających utworzenie bryły o objętości 1 litra oraz zestawu mniejszych elementów pozwalających wykonywać ćwiczenia praktyczne dotyczące przeliczania i przedstawiania objętości. Pomoc przeznaczona do wykorzystania podczas zajęć matematyki i przyrody, wykonana z trwałych i bezpiecznych materiałów. Produkt równoważny musi zapewniać te same funkcjonalne możliwości dydaktyczne.</w:t>
            </w:r>
          </w:p>
        </w:tc>
      </w:tr>
      <w:tr w:rsidR="0055541E" w:rsidRPr="00F4000D" w14:paraId="28D65A2F" w14:textId="77777777" w:rsidTr="00F4000D">
        <w:trPr>
          <w:jc w:val="center"/>
        </w:trPr>
        <w:tc>
          <w:tcPr>
            <w:tcW w:w="780" w:type="dxa"/>
          </w:tcPr>
          <w:p w14:paraId="57375CB0"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60</w:t>
            </w:r>
          </w:p>
        </w:tc>
        <w:tc>
          <w:tcPr>
            <w:tcW w:w="3115" w:type="dxa"/>
          </w:tcPr>
          <w:p w14:paraId="01EBB883"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Waga ze zbiornikami 1-litrowymi i minimum 25 </w:t>
            </w:r>
            <w:r w:rsidRPr="00F4000D">
              <w:rPr>
                <w:rFonts w:asciiTheme="majorHAnsi" w:hAnsiTheme="majorHAnsi" w:cstheme="majorHAnsi"/>
                <w:color w:val="000000" w:themeColor="text1"/>
                <w:sz w:val="24"/>
                <w:szCs w:val="24"/>
                <w:lang w:val="pl-PL"/>
              </w:rPr>
              <w:lastRenderedPageBreak/>
              <w:t>odważnikami</w:t>
            </w:r>
          </w:p>
        </w:tc>
        <w:tc>
          <w:tcPr>
            <w:tcW w:w="888" w:type="dxa"/>
          </w:tcPr>
          <w:p w14:paraId="4B1234A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2</w:t>
            </w:r>
          </w:p>
        </w:tc>
        <w:tc>
          <w:tcPr>
            <w:tcW w:w="4873" w:type="dxa"/>
          </w:tcPr>
          <w:p w14:paraId="147A09CB"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Waga edukacyjna przeznaczona do nauki zależności między masą i objętością. </w:t>
            </w:r>
            <w:r w:rsidRPr="00F4000D">
              <w:rPr>
                <w:rFonts w:asciiTheme="majorHAnsi" w:hAnsiTheme="majorHAnsi" w:cstheme="majorHAnsi"/>
                <w:color w:val="000000" w:themeColor="text1"/>
                <w:sz w:val="24"/>
                <w:szCs w:val="24"/>
                <w:lang w:val="pl-PL"/>
              </w:rPr>
              <w:lastRenderedPageBreak/>
              <w:t>Wyposażona w dwa pojemniki umożliwiające wykonywanie pomiarów z wykorzystaniem cieczy lub materiałów sypkich oraz zestaw odważników pozwalający na porównywanie i równoważenie masy. Konstrukcja wagi zapewnia stabilność i możliwość wielokrotnego wykorzystania podczas ćwiczeń praktycznych na lekcjach matematyki i przyrody. Wszystkie elementy wykonane z trwałych i bezpiecznych materiałów. Produkt równoważny musi zapewniać takie same funkcjonalne możliwości dydaktyczne.</w:t>
            </w:r>
          </w:p>
        </w:tc>
      </w:tr>
      <w:tr w:rsidR="0055541E" w:rsidRPr="00F4000D" w14:paraId="4FA7944F" w14:textId="77777777" w:rsidTr="00F4000D">
        <w:trPr>
          <w:jc w:val="center"/>
        </w:trPr>
        <w:tc>
          <w:tcPr>
            <w:tcW w:w="780" w:type="dxa"/>
          </w:tcPr>
          <w:p w14:paraId="424E81B5"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61</w:t>
            </w:r>
          </w:p>
        </w:tc>
        <w:tc>
          <w:tcPr>
            <w:tcW w:w="3115" w:type="dxa"/>
          </w:tcPr>
          <w:p w14:paraId="58D2E54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Magnetyczne </w:t>
            </w:r>
            <w:proofErr w:type="spellStart"/>
            <w:r w:rsidRPr="00F4000D">
              <w:rPr>
                <w:rFonts w:asciiTheme="majorHAnsi" w:hAnsiTheme="majorHAnsi" w:cstheme="majorHAnsi"/>
                <w:color w:val="000000" w:themeColor="text1"/>
                <w:sz w:val="24"/>
                <w:szCs w:val="24"/>
                <w:lang w:val="pl-PL"/>
              </w:rPr>
              <w:t>pizze</w:t>
            </w:r>
            <w:proofErr w:type="spellEnd"/>
            <w:r w:rsidRPr="00F4000D">
              <w:rPr>
                <w:rFonts w:asciiTheme="majorHAnsi" w:hAnsiTheme="majorHAnsi" w:cstheme="majorHAnsi"/>
                <w:color w:val="000000" w:themeColor="text1"/>
                <w:sz w:val="24"/>
                <w:szCs w:val="24"/>
                <w:lang w:val="pl-PL"/>
              </w:rPr>
              <w:t xml:space="preserve"> - ułamki – zestaw demonstracyjny lub równoważne</w:t>
            </w:r>
          </w:p>
        </w:tc>
        <w:tc>
          <w:tcPr>
            <w:tcW w:w="888" w:type="dxa"/>
          </w:tcPr>
          <w:p w14:paraId="2DB2BD8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3D1E54CA"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edukacyjny do nauki ułamków zwykłych, składający się z magnetycznych elementów w kształcie okręgów podzielonych na części reprezentujące różne wartości ułamków. Elementy umożliwiają prezentację pojęcia całości oraz jej podziału na równe części o różnych mianownikach. Każda część zawiera czytelne oznaczenie wartości ułamka. Zestaw może być wykorzystywany na powierzchniach magnetycznych lub na płaskich stołach podczas pracy indywidualnej i grupowej. Wykonany z trwałych, bezpiecznych materiałów. Produkt równoważny musi zapewniać takie same funkcjonalne możliwości dydaktyczne.</w:t>
            </w:r>
          </w:p>
        </w:tc>
      </w:tr>
      <w:tr w:rsidR="0055541E" w:rsidRPr="00F4000D" w14:paraId="59ABEA64" w14:textId="77777777" w:rsidTr="00F4000D">
        <w:trPr>
          <w:jc w:val="center"/>
        </w:trPr>
        <w:tc>
          <w:tcPr>
            <w:tcW w:w="780" w:type="dxa"/>
          </w:tcPr>
          <w:p w14:paraId="6AF18D1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62</w:t>
            </w:r>
          </w:p>
        </w:tc>
        <w:tc>
          <w:tcPr>
            <w:tcW w:w="3115" w:type="dxa"/>
          </w:tcPr>
          <w:p w14:paraId="4FBF796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Matematyczne eksperymenty z objętością</w:t>
            </w:r>
          </w:p>
        </w:tc>
        <w:tc>
          <w:tcPr>
            <w:tcW w:w="888" w:type="dxa"/>
          </w:tcPr>
          <w:p w14:paraId="7FA09B5C"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4F7514CD"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dydaktyczny przeznaczony do prowadzenia eksperymentów z zakresu objętości. Umożliwia praktyczne badanie pojemności brył, wykonywanie porównań, pomiarów i obliczeń związanych z jednostkami objętości. W skład zestawu wchodzą elementy pozwalające na odmierzanie płynów, napełnianie i opróżnianie pojemników, a także bryły służące do demonstracji zależności między kształtem a objętością. Zestaw przeznaczony do pracy indywidualnej i grupowej podczas zajęć matematyki oraz przyrody. Wykonany z trwałych, bezpiecznych materiałów. Produkt równoważny musi zapewniać takie same możliwości dydaktyczne.</w:t>
            </w:r>
          </w:p>
        </w:tc>
      </w:tr>
      <w:tr w:rsidR="0055541E" w:rsidRPr="00F4000D" w14:paraId="58423EFF" w14:textId="77777777" w:rsidTr="00F4000D">
        <w:trPr>
          <w:jc w:val="center"/>
        </w:trPr>
        <w:tc>
          <w:tcPr>
            <w:tcW w:w="780" w:type="dxa"/>
          </w:tcPr>
          <w:p w14:paraId="334BEA1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63</w:t>
            </w:r>
          </w:p>
        </w:tc>
        <w:tc>
          <w:tcPr>
            <w:tcW w:w="3115" w:type="dxa"/>
          </w:tcPr>
          <w:p w14:paraId="025FBC6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Układanka </w:t>
            </w:r>
            <w:proofErr w:type="spellStart"/>
            <w:r w:rsidRPr="00F4000D">
              <w:rPr>
                <w:rFonts w:asciiTheme="majorHAnsi" w:hAnsiTheme="majorHAnsi" w:cstheme="majorHAnsi"/>
                <w:color w:val="000000" w:themeColor="text1"/>
                <w:sz w:val="24"/>
                <w:szCs w:val="24"/>
                <w:lang w:val="pl-PL"/>
              </w:rPr>
              <w:t>Schubitrix</w:t>
            </w:r>
            <w:proofErr w:type="spellEnd"/>
            <w:r w:rsidRPr="00F4000D">
              <w:rPr>
                <w:rFonts w:asciiTheme="majorHAnsi" w:hAnsiTheme="majorHAnsi" w:cstheme="majorHAnsi"/>
                <w:color w:val="000000" w:themeColor="text1"/>
                <w:sz w:val="24"/>
                <w:szCs w:val="24"/>
                <w:lang w:val="pl-PL"/>
              </w:rPr>
              <w:t xml:space="preserve"> - ułamki dziesiętne lub równoważne</w:t>
            </w:r>
          </w:p>
        </w:tc>
        <w:tc>
          <w:tcPr>
            <w:tcW w:w="888" w:type="dxa"/>
          </w:tcPr>
          <w:p w14:paraId="2DCAE18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5B39ECE7"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Dydaktyczna układanka matematyczna służąca do ćwiczenia zapisu oraz odczytywania ułamków dziesiętnych. Zestaw składa się z </w:t>
            </w:r>
            <w:r w:rsidRPr="00F4000D">
              <w:rPr>
                <w:rFonts w:asciiTheme="majorHAnsi" w:hAnsiTheme="majorHAnsi" w:cstheme="majorHAnsi"/>
                <w:color w:val="000000" w:themeColor="text1"/>
                <w:sz w:val="24"/>
                <w:szCs w:val="24"/>
                <w:lang w:val="pl-PL"/>
              </w:rPr>
              <w:lastRenderedPageBreak/>
              <w:t>trójkątnych kart, na których umieszczono zadania i odpowiadające im wartości. Zadaniem ucznia jest dopasowanie elementów tak, aby stykające się boki tworzyły poprawne pary, co umożliwia samokontrolę wykonania ćwiczeń. Układanka rozwija logiczne myślenie, spostrzegawczość oraz umiejętność pracy z ułamkami dziesiętnymi. Wykonana z trwałych i bezpiecznych materiałów, przeznaczona do pracy indywidualnej i grupowej. Produkt równoważny musi zapewniać te same funkcjonalne możliwości dydaktyczne.</w:t>
            </w:r>
          </w:p>
        </w:tc>
      </w:tr>
      <w:tr w:rsidR="0055541E" w:rsidRPr="00F4000D" w14:paraId="0E28C7B0" w14:textId="77777777" w:rsidTr="00F4000D">
        <w:trPr>
          <w:jc w:val="center"/>
        </w:trPr>
        <w:tc>
          <w:tcPr>
            <w:tcW w:w="780" w:type="dxa"/>
          </w:tcPr>
          <w:p w14:paraId="007797C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64</w:t>
            </w:r>
          </w:p>
        </w:tc>
        <w:tc>
          <w:tcPr>
            <w:tcW w:w="3115" w:type="dxa"/>
          </w:tcPr>
          <w:p w14:paraId="070575CC"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demonstracyjny magnetycznych pieniędzy</w:t>
            </w:r>
          </w:p>
        </w:tc>
        <w:tc>
          <w:tcPr>
            <w:tcW w:w="888" w:type="dxa"/>
          </w:tcPr>
          <w:p w14:paraId="7784CCC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3CB1DAEF"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Dydaktyczna układanka matematyczna przeznaczona do nauki i utrwalania ułamków dziesiętnych. Zestaw składa się z trójkątnych kart, które należy dopasowywać, łącząc zadanie z poprawną odpowiedzią na stykających się bokach. Elementy układanki przedstawiają wartości ułamków dziesiętnych z wykorzystaniem reprezentacji pieniężnych (np. monety lub banknoty jako ilustracja wartości). Układanka umożliwia samokontrolę poprawności wykonania zadania, rozwija logiczne myślenie, spostrzegawczość i umiejętność pracy z ułamkami dziesiętnymi. Produkt równoważny musi zapewniać identyczne funkcjonalne możliwości dydaktyczne.</w:t>
            </w:r>
          </w:p>
        </w:tc>
      </w:tr>
      <w:tr w:rsidR="0055541E" w:rsidRPr="00F4000D" w14:paraId="70EFE895" w14:textId="77777777" w:rsidTr="00F4000D">
        <w:trPr>
          <w:jc w:val="center"/>
        </w:trPr>
        <w:tc>
          <w:tcPr>
            <w:tcW w:w="780" w:type="dxa"/>
          </w:tcPr>
          <w:p w14:paraId="4D815BA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65</w:t>
            </w:r>
          </w:p>
        </w:tc>
        <w:tc>
          <w:tcPr>
            <w:tcW w:w="3115" w:type="dxa"/>
          </w:tcPr>
          <w:p w14:paraId="76A57EF6"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25 sztuk zegarów do nauki godzin</w:t>
            </w:r>
          </w:p>
        </w:tc>
        <w:tc>
          <w:tcPr>
            <w:tcW w:w="888" w:type="dxa"/>
          </w:tcPr>
          <w:p w14:paraId="4604A225"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3ACD4C2B"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edukacyjny do nauki odczytywania czasu, składający się z co najmniej jednego dużego zegara demonstracyjnego z ruchomymi wskazówkami oraz co najmniej 24 małych zegarów uczniowskich umożliwiających samodzielne ustawianie godzin i minut. Duży zegar powinien umożliwiać prezentację wskazań w pracy zbiorowej, natomiast małe zegary mają służyć do ćwiczeń indywidualnych i w parach. Zestaw powinien wspierać naukę pełnych godzin, połówek i kwadransów oraz rozwijać umiejętność odczytywania czasu na zegarze analogowym. Wszystkie elementy muszą być wykonane z trwałych i bezpiecznych materiałów oraz przystosowane do wielokrotnego użytku. Produkt równoważny </w:t>
            </w:r>
            <w:r w:rsidRPr="00F4000D">
              <w:rPr>
                <w:rFonts w:asciiTheme="majorHAnsi" w:hAnsiTheme="majorHAnsi" w:cstheme="majorHAnsi"/>
                <w:color w:val="000000" w:themeColor="text1"/>
                <w:sz w:val="24"/>
                <w:szCs w:val="24"/>
                <w:lang w:val="pl-PL"/>
              </w:rPr>
              <w:lastRenderedPageBreak/>
              <w:t>musi zapewniać te same funkcjonalne możliwości dydaktyczne.</w:t>
            </w:r>
          </w:p>
        </w:tc>
      </w:tr>
      <w:tr w:rsidR="0055541E" w:rsidRPr="00F4000D" w14:paraId="22EE2120" w14:textId="77777777" w:rsidTr="00F4000D">
        <w:trPr>
          <w:jc w:val="center"/>
        </w:trPr>
        <w:tc>
          <w:tcPr>
            <w:tcW w:w="780" w:type="dxa"/>
          </w:tcPr>
          <w:p w14:paraId="3EBA899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66</w:t>
            </w:r>
          </w:p>
        </w:tc>
        <w:tc>
          <w:tcPr>
            <w:tcW w:w="3115" w:type="dxa"/>
          </w:tcPr>
          <w:p w14:paraId="153D9AF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Liczydło szkolne stojące</w:t>
            </w:r>
          </w:p>
        </w:tc>
        <w:tc>
          <w:tcPr>
            <w:tcW w:w="888" w:type="dxa"/>
          </w:tcPr>
          <w:p w14:paraId="776E83D0"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65C3C875"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Drewniane liczydło edukacyjne w wersji demonstracyjnej, wyposażone w co najmniej 100 korali rozmieszczonych na kilku rzędach, umożliwiające wykonywanie ćwiczeń z zakresu liczenia, dodawania, odejmowania oraz tworzenia prostych wzorów matematycznych. Pomoc powinna mieć formę dużego liczydła przeznaczonego do pracy grupowej i demonstracyjnej. Konstrukcja wykonana z trwałych i bezpiecznych materiałów, przystosowana do intensywnego użytkowania w edukacji przedszkolnej i szkolnej. Produkt równoważny musi zapewniać takie same funkcjonalne możliwości dydaktyczne.</w:t>
            </w:r>
          </w:p>
        </w:tc>
      </w:tr>
      <w:tr w:rsidR="0055541E" w:rsidRPr="00F4000D" w14:paraId="5C939C08" w14:textId="77777777" w:rsidTr="00F4000D">
        <w:trPr>
          <w:jc w:val="center"/>
        </w:trPr>
        <w:tc>
          <w:tcPr>
            <w:tcW w:w="780" w:type="dxa"/>
          </w:tcPr>
          <w:p w14:paraId="24797C5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67</w:t>
            </w:r>
          </w:p>
        </w:tc>
        <w:tc>
          <w:tcPr>
            <w:tcW w:w="3115" w:type="dxa"/>
          </w:tcPr>
          <w:p w14:paraId="63A362BA"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Mata do wytupywania złości</w:t>
            </w:r>
          </w:p>
        </w:tc>
        <w:tc>
          <w:tcPr>
            <w:tcW w:w="888" w:type="dxa"/>
          </w:tcPr>
          <w:p w14:paraId="0E0F6CF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00D3E8B8" w14:textId="0F6D9EC3"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Plansza terapeutyczna przeznaczona do bezpiecznego odreagowywania napięcia emocjonalnego przez dzieci. Wykonana z trwałego, zmywalnego i bezpiecznego materiału, odpornego na intensywne użytkowanie. Wyposażona w graficzne oznaczenia ułatwiające pracę z emocjami oraz zachęcające do ekspresji ruchowej. Powinna mieć format o boku co najmniej 40 cm, umożliwiający swobodne wykorzystanie podczas zajęć grupowych i indywidualnych. Produkt równoważny musi zapewniać takie same funkcjonalne możliwości wspierania rozpoznawania, nazywania i regulowania emocji</w:t>
            </w:r>
            <w:r w:rsidR="00982048">
              <w:rPr>
                <w:rFonts w:asciiTheme="majorHAnsi" w:hAnsiTheme="majorHAnsi" w:cstheme="majorHAnsi"/>
                <w:color w:val="000000" w:themeColor="text1"/>
                <w:sz w:val="24"/>
                <w:szCs w:val="24"/>
                <w:lang w:val="pl-PL"/>
              </w:rPr>
              <w:t>.</w:t>
            </w:r>
          </w:p>
        </w:tc>
      </w:tr>
      <w:tr w:rsidR="0055541E" w:rsidRPr="00F4000D" w14:paraId="35ECB1E5" w14:textId="77777777" w:rsidTr="00F4000D">
        <w:trPr>
          <w:jc w:val="center"/>
        </w:trPr>
        <w:tc>
          <w:tcPr>
            <w:tcW w:w="780" w:type="dxa"/>
          </w:tcPr>
          <w:p w14:paraId="25D5B9CC"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68</w:t>
            </w:r>
          </w:p>
        </w:tc>
        <w:tc>
          <w:tcPr>
            <w:tcW w:w="3115" w:type="dxa"/>
          </w:tcPr>
          <w:p w14:paraId="134592B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Poznaję emocje</w:t>
            </w:r>
          </w:p>
        </w:tc>
        <w:tc>
          <w:tcPr>
            <w:tcW w:w="888" w:type="dxa"/>
          </w:tcPr>
          <w:p w14:paraId="6F1A3485"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5B5DBB71" w14:textId="7B705CF4"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kart pracy wspierających rozwój kompetencji emocjonalnych, przeznaczony dla dzieci i młodzieży w wieku co najmniej 8 lat. Materiały obejmują ćwiczenia dotyczące rozpoznawania, nazywania i wyrażania emocji, rozumienia emocji innych osób oraz radzenia sobie z trudnymi uczuciami. Zestaw może być wykorzystywany zarówno podczas zajęć ogólnorozwojowych, jak i w pracy z uczniami mającymi trudności w sferze emocjonalno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 xml:space="preserve">społecznej, w tym ze spektrum autyzmu. Zawiera elementy umożliwiające prowadzenie pracy indywidualnej i grupowej </w:t>
            </w:r>
            <w:r w:rsidRPr="00F4000D">
              <w:rPr>
                <w:rFonts w:asciiTheme="majorHAnsi" w:hAnsiTheme="majorHAnsi" w:cstheme="majorHAnsi"/>
                <w:color w:val="000000" w:themeColor="text1"/>
                <w:sz w:val="24"/>
                <w:szCs w:val="24"/>
                <w:lang w:val="pl-PL"/>
              </w:rPr>
              <w:lastRenderedPageBreak/>
              <w:t>oraz narzędzia wspierające monitorowanie i refleksję nad własnymi emocjami. Produkt równoważny musi zapewniać takie same funkcjonalne możliwości dydaktyczne</w:t>
            </w:r>
            <w:r w:rsidR="00982048">
              <w:rPr>
                <w:rFonts w:asciiTheme="majorHAnsi" w:hAnsiTheme="majorHAnsi" w:cstheme="majorHAnsi"/>
                <w:color w:val="000000" w:themeColor="text1"/>
                <w:sz w:val="24"/>
                <w:szCs w:val="24"/>
                <w:lang w:val="pl-PL"/>
              </w:rPr>
              <w:t>.</w:t>
            </w:r>
          </w:p>
        </w:tc>
      </w:tr>
      <w:tr w:rsidR="0055541E" w:rsidRPr="00F4000D" w14:paraId="6190BA91" w14:textId="77777777" w:rsidTr="00F4000D">
        <w:trPr>
          <w:jc w:val="center"/>
        </w:trPr>
        <w:tc>
          <w:tcPr>
            <w:tcW w:w="780" w:type="dxa"/>
          </w:tcPr>
          <w:p w14:paraId="547181D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69</w:t>
            </w:r>
          </w:p>
        </w:tc>
        <w:tc>
          <w:tcPr>
            <w:tcW w:w="3115" w:type="dxa"/>
          </w:tcPr>
          <w:p w14:paraId="218F2BA3"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UWAGA. Koncentruję się! Część II. Ćwiczenia na koncentrację i spostrzegawczość dla uczniów KLAS IV-VI</w:t>
            </w:r>
          </w:p>
        </w:tc>
        <w:tc>
          <w:tcPr>
            <w:tcW w:w="888" w:type="dxa"/>
          </w:tcPr>
          <w:p w14:paraId="0C89E2D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4</w:t>
            </w:r>
          </w:p>
        </w:tc>
        <w:tc>
          <w:tcPr>
            <w:tcW w:w="4873" w:type="dxa"/>
          </w:tcPr>
          <w:p w14:paraId="20CFDE52"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ćwiczeń rozwijających koncentrację uwagi i spostrzegawczość, przeznaczony dla uczniów w wieku co najmniej 9 lat (klasy IV–VI). Materiał zawiera różnorodne zadania oparte na analizie wzrokowej, porównywaniu elementów, dopasowywaniu, odwzorowywaniu oraz operacjach słownych. Ćwiczenia wspierają rozwój percepcji wzrokowej, orientacji przestrzennej, pamięci, myślenia logicznego oraz koordynacji wzrokowo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ruchowej. Publikacja nadaje się do pracy indywidualnej i zespołowej, w tym do wykorzystania podczas zajęć rozwijających, korekcyjno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kompensacyjnych i terapeutycznych. Produkt równoważny musi zapewniać takie same funkcjonalne możliwości dydaktyczne.</w:t>
            </w:r>
          </w:p>
        </w:tc>
      </w:tr>
      <w:tr w:rsidR="0055541E" w:rsidRPr="00F4000D" w14:paraId="189C52DD" w14:textId="77777777" w:rsidTr="00F4000D">
        <w:trPr>
          <w:jc w:val="center"/>
        </w:trPr>
        <w:tc>
          <w:tcPr>
            <w:tcW w:w="780" w:type="dxa"/>
          </w:tcPr>
          <w:p w14:paraId="0852312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70</w:t>
            </w:r>
          </w:p>
        </w:tc>
        <w:tc>
          <w:tcPr>
            <w:tcW w:w="3115" w:type="dxa"/>
          </w:tcPr>
          <w:p w14:paraId="5434954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Ćwiczę koncentrację</w:t>
            </w:r>
          </w:p>
        </w:tc>
        <w:tc>
          <w:tcPr>
            <w:tcW w:w="888" w:type="dxa"/>
          </w:tcPr>
          <w:p w14:paraId="004EFAFE"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70FF98F8" w14:textId="20AAECBC"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ćwiczeń wspierających rozwój koncentracji uwagi, spostrzegawczości oraz funkcji poznawczych u uczniów w młodszym wieku szkolnym. Materiał obejmuje różnorodne zadania polegające m.in. na analizie i porównywaniu elementów, znajdowaniu różnic, dopasowywaniu par, odwzorowywaniu kształtów oraz wykonywaniu ćwiczeń o charakterze grafomotorycznym. Publikacja rozwija percepcję wzrokową, orientację przestrzenną, pamięć, logiczne myślenie oraz koordynację wzrokowo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ruchową. Może być wykorzystywana podczas pracy indywidualnej i grupowej, także w ramach zajęć korekcyjno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kompensacyjnych, rozwijających lub terapeutycznych. Produkt równoważny musi zapewniać takie same funkcjonalne możliwości dydaktyczne</w:t>
            </w:r>
            <w:r w:rsidR="00982048">
              <w:rPr>
                <w:rFonts w:asciiTheme="majorHAnsi" w:hAnsiTheme="majorHAnsi" w:cstheme="majorHAnsi"/>
                <w:color w:val="000000" w:themeColor="text1"/>
                <w:sz w:val="24"/>
                <w:szCs w:val="24"/>
                <w:lang w:val="pl-PL"/>
              </w:rPr>
              <w:t>.</w:t>
            </w:r>
          </w:p>
        </w:tc>
      </w:tr>
      <w:tr w:rsidR="0055541E" w:rsidRPr="00F4000D" w14:paraId="49B19E1D" w14:textId="77777777" w:rsidTr="00F4000D">
        <w:trPr>
          <w:jc w:val="center"/>
        </w:trPr>
        <w:tc>
          <w:tcPr>
            <w:tcW w:w="780" w:type="dxa"/>
          </w:tcPr>
          <w:p w14:paraId="4023B83C"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71</w:t>
            </w:r>
          </w:p>
        </w:tc>
        <w:tc>
          <w:tcPr>
            <w:tcW w:w="3115" w:type="dxa"/>
          </w:tcPr>
          <w:p w14:paraId="355FA85E"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Rozwijanie komunikacji i kompetencji społecznych. Pakiet dla uczniów ze specjalnymi potrzebami edukacyjnymi</w:t>
            </w:r>
          </w:p>
        </w:tc>
        <w:tc>
          <w:tcPr>
            <w:tcW w:w="888" w:type="dxa"/>
          </w:tcPr>
          <w:p w14:paraId="31CAFE6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538FAB76" w14:textId="5848B7F2"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Pakiet materiałów dydaktycznych przeznaczonych do rozwijania komunikacji oraz kompetencji społecznych u uczniów ze specjalnymi potrzebami edukacyjnymi, w tym u osób w spektrum autyzmu, z </w:t>
            </w:r>
            <w:r w:rsidRPr="00F4000D">
              <w:rPr>
                <w:rFonts w:asciiTheme="majorHAnsi" w:hAnsiTheme="majorHAnsi" w:cstheme="majorHAnsi"/>
                <w:color w:val="000000" w:themeColor="text1"/>
                <w:sz w:val="24"/>
                <w:szCs w:val="24"/>
                <w:lang w:val="pl-PL"/>
              </w:rPr>
              <w:lastRenderedPageBreak/>
              <w:t>niepełnosprawnością intelektualną oraz trudnościami w zakresie komunikacji i relacji społecznych. Zestaw obejmuje karty pracy rozwijające umiejętność nazywania i rozpoznawania emocji, mówienia o sobie, opisów sytuacji, rozumienia różnych sposobów porozumiewania się oraz pokonywania barier komunikacyjnych. Zadania mają zróżnicowany poziom trudności i uwzględniają potrzeby uczniów komunikujących się także w sposób pozawerbalny. Materiał może być wykorzystywany podczas zajęć rewalidacyjnych, funkcjonowania osobistego i społecznego oraz zajęć rozwijających komunikowanie się. Produkt równoważny musi zapewniać takie same funkcjonalne możliwości dydaktyczne</w:t>
            </w:r>
            <w:r w:rsidR="00982048">
              <w:rPr>
                <w:rFonts w:asciiTheme="majorHAnsi" w:hAnsiTheme="majorHAnsi" w:cstheme="majorHAnsi"/>
                <w:color w:val="000000" w:themeColor="text1"/>
                <w:sz w:val="24"/>
                <w:szCs w:val="24"/>
                <w:lang w:val="pl-PL"/>
              </w:rPr>
              <w:t>.</w:t>
            </w:r>
          </w:p>
        </w:tc>
      </w:tr>
      <w:tr w:rsidR="0055541E" w:rsidRPr="00F4000D" w14:paraId="4CE1AF8C" w14:textId="77777777" w:rsidTr="00F4000D">
        <w:trPr>
          <w:jc w:val="center"/>
        </w:trPr>
        <w:tc>
          <w:tcPr>
            <w:tcW w:w="780" w:type="dxa"/>
          </w:tcPr>
          <w:p w14:paraId="3E0BACF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72</w:t>
            </w:r>
          </w:p>
        </w:tc>
        <w:tc>
          <w:tcPr>
            <w:tcW w:w="3115" w:type="dxa"/>
          </w:tcPr>
          <w:p w14:paraId="60F7E8F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Spokojnie, to tylko emocje!</w:t>
            </w:r>
          </w:p>
        </w:tc>
        <w:tc>
          <w:tcPr>
            <w:tcW w:w="888" w:type="dxa"/>
          </w:tcPr>
          <w:p w14:paraId="21B1D02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3D8C5D3D"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ćwiczeń przeznaczonych do rozwijania umiejętności rozpoznawania, nazywania i wyrażania emocji u dzieci w wieku przedszkolnym i wczesnoszkolnym. Materiał obejmuje zadania wspierające świadomość emocjonalną, regulację emocji oraz rozumienie sposobów ich wyrażania. Ćwiczenia rozwijają również funkcje poznawcze, takie jak spostrzegawczość, koncentracja, czytanie ze zrozumieniem, myślenie </w:t>
            </w:r>
            <w:proofErr w:type="spellStart"/>
            <w:r w:rsidRPr="00F4000D">
              <w:rPr>
                <w:rFonts w:asciiTheme="majorHAnsi" w:hAnsiTheme="majorHAnsi" w:cstheme="majorHAnsi"/>
                <w:color w:val="000000" w:themeColor="text1"/>
                <w:sz w:val="24"/>
                <w:szCs w:val="24"/>
                <w:lang w:val="pl-PL"/>
              </w:rPr>
              <w:t>przyczynowo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skutkowe</w:t>
            </w:r>
            <w:proofErr w:type="spellEnd"/>
            <w:r w:rsidRPr="00F4000D">
              <w:rPr>
                <w:rFonts w:asciiTheme="majorHAnsi" w:hAnsiTheme="majorHAnsi" w:cstheme="majorHAnsi"/>
                <w:color w:val="000000" w:themeColor="text1"/>
                <w:sz w:val="24"/>
                <w:szCs w:val="24"/>
                <w:lang w:val="pl-PL"/>
              </w:rPr>
              <w:t xml:space="preserve"> i zasób słownictwa. Publikacja może być wykorzystywana w pracy indywidualnej i grupowej podczas zajęć wychowawczych, rewalidacyjnych oraz terapeutycznych. Produkt równoważny musi zapewniać takie same funkcjonalne możliwości dydaktyczne.</w:t>
            </w:r>
          </w:p>
        </w:tc>
      </w:tr>
      <w:tr w:rsidR="0055541E" w:rsidRPr="00F4000D" w14:paraId="157D624B" w14:textId="77777777" w:rsidTr="00F4000D">
        <w:trPr>
          <w:jc w:val="center"/>
        </w:trPr>
        <w:tc>
          <w:tcPr>
            <w:tcW w:w="780" w:type="dxa"/>
          </w:tcPr>
          <w:p w14:paraId="0918652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73</w:t>
            </w:r>
          </w:p>
        </w:tc>
        <w:tc>
          <w:tcPr>
            <w:tcW w:w="3115" w:type="dxa"/>
          </w:tcPr>
          <w:p w14:paraId="07ED541A"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Trenuję umiejętności komunikacyjne</w:t>
            </w:r>
          </w:p>
        </w:tc>
        <w:tc>
          <w:tcPr>
            <w:tcW w:w="888" w:type="dxa"/>
          </w:tcPr>
          <w:p w14:paraId="36C00F2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01117335"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kart pracy przeznaczonych do rozwijania umiejętności komunikacyjnych u dzieci i młodzieży w wieku co najmniej 8 lat, w tym uczniów ze spektrum autyzmu oraz ze specjalnymi potrzebami edukacyjnymi. Materiał obejmuje ćwiczenia dotyczące komunikacji werbalnej i niewerbalnej, rozpoczynania rozmowy, rozpoznawania pozytywnych i negatywnych form komunikacji, proszenia o pomoc oraz bezpiecznego </w:t>
            </w:r>
            <w:r w:rsidRPr="00F4000D">
              <w:rPr>
                <w:rFonts w:asciiTheme="majorHAnsi" w:hAnsiTheme="majorHAnsi" w:cstheme="majorHAnsi"/>
                <w:color w:val="000000" w:themeColor="text1"/>
                <w:sz w:val="24"/>
                <w:szCs w:val="24"/>
                <w:lang w:val="pl-PL"/>
              </w:rPr>
              <w:lastRenderedPageBreak/>
              <w:t>wyrażania potrzeb. Zawiera elementy umożliwiające monitorowanie postępów ucznia w zakresie umiejętności komunikacyjnych. Publikacja może być wykorzystywana podczas zajęć rewalidacyjnych, terapeutycznych oraz rozwijających kompetencje społeczne, zarówno indywidualnie, jak i w grupie. Produkt równoważny musi zapewniać takie same funkcjonalne możliwości dydaktyczne.</w:t>
            </w:r>
          </w:p>
        </w:tc>
      </w:tr>
      <w:tr w:rsidR="0055541E" w:rsidRPr="00F4000D" w14:paraId="299D2E0A" w14:textId="77777777" w:rsidTr="00F4000D">
        <w:trPr>
          <w:jc w:val="center"/>
        </w:trPr>
        <w:tc>
          <w:tcPr>
            <w:tcW w:w="780" w:type="dxa"/>
          </w:tcPr>
          <w:p w14:paraId="063086E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74</w:t>
            </w:r>
          </w:p>
        </w:tc>
        <w:tc>
          <w:tcPr>
            <w:tcW w:w="3115" w:type="dxa"/>
          </w:tcPr>
          <w:p w14:paraId="0EB41EF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POZNAJEMY EMOCJE I – RADOŚĆ I SMUTEK</w:t>
            </w:r>
          </w:p>
        </w:tc>
        <w:tc>
          <w:tcPr>
            <w:tcW w:w="888" w:type="dxa"/>
          </w:tcPr>
          <w:p w14:paraId="2F1530D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5AFFFD16"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kart edukacyjnych przeznaczonych do rozwijania umiejętności rozpoznawania, nazywania i różnicowania podstawowych emocji u dzieci. W skład zestawu wchodzą materiały przedstawiające różne sposoby wyrażania wybranych emocji, w szczególności radości i smutku, w formie fotografii oraz symboli graficznych. Zestaw wspiera rozwój świadomości emocjonalnej, słownictwa oraz umiejętności interpretowania mimiki i sytuacji społecznych. Może być wykorzystywany podczas zajęć indywidualnych i grupowych, w edukacji przedszkolnej, wczesnoszkolnej oraz w terapii dzieci wymagających wsparcia w zakresie emocji i komunikacji. Produkt równoważny musi zapewniać takie same funkcjonalne możliwości dydaktyczne.</w:t>
            </w:r>
          </w:p>
        </w:tc>
      </w:tr>
      <w:tr w:rsidR="0055541E" w:rsidRPr="00F4000D" w14:paraId="321D626A" w14:textId="77777777" w:rsidTr="00F4000D">
        <w:trPr>
          <w:jc w:val="center"/>
        </w:trPr>
        <w:tc>
          <w:tcPr>
            <w:tcW w:w="780" w:type="dxa"/>
          </w:tcPr>
          <w:p w14:paraId="0DFC0D3A"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75</w:t>
            </w:r>
          </w:p>
        </w:tc>
        <w:tc>
          <w:tcPr>
            <w:tcW w:w="3115" w:type="dxa"/>
          </w:tcPr>
          <w:p w14:paraId="19942A8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POZNAJEMY EMOCJE II – ŻYCZLIWOŚĆ I GNIEW</w:t>
            </w:r>
          </w:p>
        </w:tc>
        <w:tc>
          <w:tcPr>
            <w:tcW w:w="888" w:type="dxa"/>
          </w:tcPr>
          <w:p w14:paraId="642F9F2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11F9AAE2"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kart edukacyjnych przeznaczonych do nauki rozpoznawania, nazywania i różnicowania emocji, w szczególności uczuć takich jak życzliwość i gniew. Materiał zawiera fotografie oraz symbole przedstawiające różne sposoby wyrażania emocji, umożliwiając rozwijanie świadomości emocjonalnej, słownictwa oraz rozumienia sytuacji społecznych. Zestaw wspiera dzieci w interpretowaniu mimiki i </w:t>
            </w:r>
            <w:proofErr w:type="spellStart"/>
            <w:r w:rsidRPr="00F4000D">
              <w:rPr>
                <w:rFonts w:asciiTheme="majorHAnsi" w:hAnsiTheme="majorHAnsi" w:cstheme="majorHAnsi"/>
                <w:color w:val="000000" w:themeColor="text1"/>
                <w:sz w:val="24"/>
                <w:szCs w:val="24"/>
                <w:lang w:val="pl-PL"/>
              </w:rPr>
              <w:t>zachowań</w:t>
            </w:r>
            <w:proofErr w:type="spellEnd"/>
            <w:r w:rsidRPr="00F4000D">
              <w:rPr>
                <w:rFonts w:asciiTheme="majorHAnsi" w:hAnsiTheme="majorHAnsi" w:cstheme="majorHAnsi"/>
                <w:color w:val="000000" w:themeColor="text1"/>
                <w:sz w:val="24"/>
                <w:szCs w:val="24"/>
                <w:lang w:val="pl-PL"/>
              </w:rPr>
              <w:t xml:space="preserve">, a także w uczeniu się akceptowalnych sposobów reagowania na emocje własne i innych osób. Może być wykorzystywany w pracy indywidualnej i grupowej, w edukacji przedszkolnej i wczesnoszkolnej oraz w terapii dzieci wymagających wsparcia w zakresie emocji i komunikacji. Produkt równoważny musi zapewniać takie same funkcjonalne </w:t>
            </w:r>
            <w:r w:rsidRPr="00F4000D">
              <w:rPr>
                <w:rFonts w:asciiTheme="majorHAnsi" w:hAnsiTheme="majorHAnsi" w:cstheme="majorHAnsi"/>
                <w:color w:val="000000" w:themeColor="text1"/>
                <w:sz w:val="24"/>
                <w:szCs w:val="24"/>
                <w:lang w:val="pl-PL"/>
              </w:rPr>
              <w:lastRenderedPageBreak/>
              <w:t>możliwości dydaktyczne.</w:t>
            </w:r>
          </w:p>
        </w:tc>
      </w:tr>
      <w:tr w:rsidR="0055541E" w:rsidRPr="00F4000D" w14:paraId="2D92C47F" w14:textId="77777777" w:rsidTr="00F4000D">
        <w:trPr>
          <w:jc w:val="center"/>
        </w:trPr>
        <w:tc>
          <w:tcPr>
            <w:tcW w:w="780" w:type="dxa"/>
          </w:tcPr>
          <w:p w14:paraId="2C554CD5"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76</w:t>
            </w:r>
          </w:p>
        </w:tc>
        <w:tc>
          <w:tcPr>
            <w:tcW w:w="3115" w:type="dxa"/>
          </w:tcPr>
          <w:p w14:paraId="5F71566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POZNAJEMY EMOCJE III – DUMA I WSTYD</w:t>
            </w:r>
          </w:p>
        </w:tc>
        <w:tc>
          <w:tcPr>
            <w:tcW w:w="888" w:type="dxa"/>
          </w:tcPr>
          <w:p w14:paraId="1A0D85A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13CCA997" w14:textId="78C59BF9"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kart edukacyjnych przeznaczonych do rozwijania umiejętności rozpoznawania, nazywania i różnicowania emocji u dzieci. Materiał obejmuje fotografie oraz symbole przedstawiające różne sposoby wyrażania wybranych emocji, w szczególności uczuć takich jak duma i wstyd. Zawarte zadania wspierają rozwój świadomości emocjonalnej, słownictwa, rozumienia sytuacji społecznych oraz umiejętności opisywania stanów emocjonalnych własnych i cudzych. Zestaw może być wykorzystywany podczas zajęć indywidualnych i grupowych, w edukacji przedszkolnej, wczesnoszkolnej oraz w terapii dzieci wymagających wsparcia w obszarze emocji i komunikacji. Produkt równoważny musi zapewniać takie same funkcjonalne możliwości dydaktyczne</w:t>
            </w:r>
            <w:r w:rsidR="00982048">
              <w:rPr>
                <w:rFonts w:asciiTheme="majorHAnsi" w:hAnsiTheme="majorHAnsi" w:cstheme="majorHAnsi"/>
                <w:color w:val="000000" w:themeColor="text1"/>
                <w:sz w:val="24"/>
                <w:szCs w:val="24"/>
                <w:lang w:val="pl-PL"/>
              </w:rPr>
              <w:t>.</w:t>
            </w:r>
          </w:p>
        </w:tc>
      </w:tr>
      <w:tr w:rsidR="0055541E" w:rsidRPr="00F4000D" w14:paraId="7E96E5C1" w14:textId="77777777" w:rsidTr="00F4000D">
        <w:trPr>
          <w:jc w:val="center"/>
        </w:trPr>
        <w:tc>
          <w:tcPr>
            <w:tcW w:w="780" w:type="dxa"/>
          </w:tcPr>
          <w:p w14:paraId="7289104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77</w:t>
            </w:r>
          </w:p>
        </w:tc>
        <w:tc>
          <w:tcPr>
            <w:tcW w:w="3115" w:type="dxa"/>
          </w:tcPr>
          <w:p w14:paraId="0F42735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POZNAJEMY EMOCJE IV – STRACH I WSTRĘT</w:t>
            </w:r>
          </w:p>
        </w:tc>
        <w:tc>
          <w:tcPr>
            <w:tcW w:w="888" w:type="dxa"/>
          </w:tcPr>
          <w:p w14:paraId="034EF07A"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066C2A14"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kart edukacyjnych przeznaczonych do nauki rozpoznawania, nazywania i różnicowania emocji, w szczególności uczuć takich jak życzliwość i gniew. Materiał zawiera fotografie oraz symbole przedstawiające różne sposoby wyrażania emocji, umożliwiając rozwijanie świadomości emocjonalnej, słownictwa oraz rozumienia sytuacji społecznych. Zestaw wspiera dzieci w interpretowaniu mimiki i </w:t>
            </w:r>
            <w:proofErr w:type="spellStart"/>
            <w:r w:rsidRPr="00F4000D">
              <w:rPr>
                <w:rFonts w:asciiTheme="majorHAnsi" w:hAnsiTheme="majorHAnsi" w:cstheme="majorHAnsi"/>
                <w:color w:val="000000" w:themeColor="text1"/>
                <w:sz w:val="24"/>
                <w:szCs w:val="24"/>
                <w:lang w:val="pl-PL"/>
              </w:rPr>
              <w:t>zachowań</w:t>
            </w:r>
            <w:proofErr w:type="spellEnd"/>
            <w:r w:rsidRPr="00F4000D">
              <w:rPr>
                <w:rFonts w:asciiTheme="majorHAnsi" w:hAnsiTheme="majorHAnsi" w:cstheme="majorHAnsi"/>
                <w:color w:val="000000" w:themeColor="text1"/>
                <w:sz w:val="24"/>
                <w:szCs w:val="24"/>
                <w:lang w:val="pl-PL"/>
              </w:rPr>
              <w:t>, a także w uczeniu się akceptowalnych sposobów reagowania na emocje własne i innych osób. Może być wykorzystywany w pracy indywidualnej i grupowej, w edukacji przedszkolnej i wczesnoszkolnej oraz w terapii dzieci wymagających wsparcia w zakresie emocji i komunikacji. Produkt równoważny musi zapewniać takie same funkcjonalne możliwości dydaktyczne</w:t>
            </w:r>
          </w:p>
        </w:tc>
      </w:tr>
      <w:tr w:rsidR="0055541E" w:rsidRPr="00F4000D" w14:paraId="6D846F7E" w14:textId="77777777" w:rsidTr="00F4000D">
        <w:trPr>
          <w:jc w:val="center"/>
        </w:trPr>
        <w:tc>
          <w:tcPr>
            <w:tcW w:w="780" w:type="dxa"/>
          </w:tcPr>
          <w:p w14:paraId="7DF91F8E"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78</w:t>
            </w:r>
          </w:p>
        </w:tc>
        <w:tc>
          <w:tcPr>
            <w:tcW w:w="3115" w:type="dxa"/>
          </w:tcPr>
          <w:p w14:paraId="593C8C4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SPOSOBY NA ZŁOŚĆ - KARTY PRACY</w:t>
            </w:r>
          </w:p>
        </w:tc>
        <w:tc>
          <w:tcPr>
            <w:tcW w:w="888" w:type="dxa"/>
          </w:tcPr>
          <w:p w14:paraId="02DEB68C"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350DCD29"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materiałów edukacyjnych przeznaczonych do rozwijania umiejętności rozpoznawania, nazywania i regulowania emocji, w szczególności złości, u dzieci w wieku co najmniej 6 lat. Zawiera różnorodne karty pracy umożliwiające samodzielne wykonywanie </w:t>
            </w:r>
            <w:r w:rsidRPr="00F4000D">
              <w:rPr>
                <w:rFonts w:asciiTheme="majorHAnsi" w:hAnsiTheme="majorHAnsi" w:cstheme="majorHAnsi"/>
                <w:color w:val="000000" w:themeColor="text1"/>
                <w:sz w:val="24"/>
                <w:szCs w:val="24"/>
                <w:lang w:val="pl-PL"/>
              </w:rPr>
              <w:lastRenderedPageBreak/>
              <w:t xml:space="preserve">zadań, takie jak rysowanie, kolorowanie, uzupełnianie i analizowanie sytuacji, a także plansze edukacyjne prezentujące sposoby wyrażania złości oraz strategie jej konstruktywnego regulowania. Zestaw obejmuje również krótkie ćwiczenia lub historie sytuacyjne wspierające zrozumienie emocji w codziennych kontekstach. Może być wykorzystywany podczas zajęć indywidualnych i grupowych w edukacji przedszkolnej i wczesnoszkolnej, w działaniach </w:t>
            </w:r>
            <w:proofErr w:type="spellStart"/>
            <w:r w:rsidRPr="00F4000D">
              <w:rPr>
                <w:rFonts w:asciiTheme="majorHAnsi" w:hAnsiTheme="majorHAnsi" w:cstheme="majorHAnsi"/>
                <w:color w:val="000000" w:themeColor="text1"/>
                <w:sz w:val="24"/>
                <w:szCs w:val="24"/>
                <w:lang w:val="pl-PL"/>
              </w:rPr>
              <w:t>psychoedukacyjnych</w:t>
            </w:r>
            <w:proofErr w:type="spellEnd"/>
            <w:r w:rsidRPr="00F4000D">
              <w:rPr>
                <w:rFonts w:asciiTheme="majorHAnsi" w:hAnsiTheme="majorHAnsi" w:cstheme="majorHAnsi"/>
                <w:color w:val="000000" w:themeColor="text1"/>
                <w:sz w:val="24"/>
                <w:szCs w:val="24"/>
                <w:lang w:val="pl-PL"/>
              </w:rPr>
              <w:t>, terapeutycznych oraz podczas zajęć rozwijających kompetencje społeczne. Produkt równoważny musi zapewniać takie same funkcjonalne możliwości dydaktyczne.</w:t>
            </w:r>
          </w:p>
        </w:tc>
      </w:tr>
      <w:tr w:rsidR="0055541E" w:rsidRPr="00F4000D" w14:paraId="00F2B4D5" w14:textId="77777777" w:rsidTr="00F4000D">
        <w:trPr>
          <w:jc w:val="center"/>
        </w:trPr>
        <w:tc>
          <w:tcPr>
            <w:tcW w:w="780" w:type="dxa"/>
          </w:tcPr>
          <w:p w14:paraId="0CB61E3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79</w:t>
            </w:r>
          </w:p>
        </w:tc>
        <w:tc>
          <w:tcPr>
            <w:tcW w:w="3115" w:type="dxa"/>
          </w:tcPr>
          <w:p w14:paraId="41B153E2"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ILUSTROWANE KARTY DO NAUKI ZACHOWAŃ SPOŁECZNYCH</w:t>
            </w:r>
          </w:p>
        </w:tc>
        <w:tc>
          <w:tcPr>
            <w:tcW w:w="888" w:type="dxa"/>
          </w:tcPr>
          <w:p w14:paraId="4AEBD84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54D4C0BB"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ilustrowanych kart edukacyjnych przeznaczonych do nauki i modelowania </w:t>
            </w:r>
            <w:proofErr w:type="spellStart"/>
            <w:r w:rsidRPr="00F4000D">
              <w:rPr>
                <w:rFonts w:asciiTheme="majorHAnsi" w:hAnsiTheme="majorHAnsi" w:cstheme="majorHAnsi"/>
                <w:color w:val="000000" w:themeColor="text1"/>
                <w:sz w:val="24"/>
                <w:szCs w:val="24"/>
                <w:lang w:val="pl-PL"/>
              </w:rPr>
              <w:t>zachowań</w:t>
            </w:r>
            <w:proofErr w:type="spellEnd"/>
            <w:r w:rsidRPr="00F4000D">
              <w:rPr>
                <w:rFonts w:asciiTheme="majorHAnsi" w:hAnsiTheme="majorHAnsi" w:cstheme="majorHAnsi"/>
                <w:color w:val="000000" w:themeColor="text1"/>
                <w:sz w:val="24"/>
                <w:szCs w:val="24"/>
                <w:lang w:val="pl-PL"/>
              </w:rPr>
              <w:t xml:space="preserve"> społecznych u dzieci. Materiał przedstawia różne sytuacje dnia codziennego wraz z przykładami właściwych i niewłaściwych reakcji, wspierając rozwój umiejętności społecznych, komunikacyjnych oraz zrozumienia norm i zasad funkcjonowania w grupie. Karty umożliwiają ćwiczenie rozpoznawania intencji, przewidywania konsekwencji </w:t>
            </w:r>
            <w:proofErr w:type="spellStart"/>
            <w:r w:rsidRPr="00F4000D">
              <w:rPr>
                <w:rFonts w:asciiTheme="majorHAnsi" w:hAnsiTheme="majorHAnsi" w:cstheme="majorHAnsi"/>
                <w:color w:val="000000" w:themeColor="text1"/>
                <w:sz w:val="24"/>
                <w:szCs w:val="24"/>
                <w:lang w:val="pl-PL"/>
              </w:rPr>
              <w:t>zachowań</w:t>
            </w:r>
            <w:proofErr w:type="spellEnd"/>
            <w:r w:rsidRPr="00F4000D">
              <w:rPr>
                <w:rFonts w:asciiTheme="majorHAnsi" w:hAnsiTheme="majorHAnsi" w:cstheme="majorHAnsi"/>
                <w:color w:val="000000" w:themeColor="text1"/>
                <w:sz w:val="24"/>
                <w:szCs w:val="24"/>
                <w:lang w:val="pl-PL"/>
              </w:rPr>
              <w:t>, wybierania adekwatnych reakcji oraz omawiania alternatywnych sposobów postępowania. Zestaw może być wykorzystywany podczas pracy indywidualnej i grupowej w edukacji przedszkolnej i wczesnoszkolnej oraz w terapii dzieci wymagających wsparcia w zakresie relacji społecznych. Produkt równoważny musi zapewniać takie same funkcjonalne możliwości dydaktyczne.</w:t>
            </w:r>
          </w:p>
        </w:tc>
      </w:tr>
      <w:tr w:rsidR="0055541E" w:rsidRPr="00F4000D" w14:paraId="187E6B2F" w14:textId="77777777" w:rsidTr="00F4000D">
        <w:trPr>
          <w:jc w:val="center"/>
        </w:trPr>
        <w:tc>
          <w:tcPr>
            <w:tcW w:w="780" w:type="dxa"/>
          </w:tcPr>
          <w:p w14:paraId="7A0FFC4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80</w:t>
            </w:r>
          </w:p>
        </w:tc>
        <w:tc>
          <w:tcPr>
            <w:tcW w:w="3115" w:type="dxa"/>
          </w:tcPr>
          <w:p w14:paraId="524D689D"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GRA KŁĘBKI EMOCJI lub równoważna</w:t>
            </w:r>
          </w:p>
        </w:tc>
        <w:tc>
          <w:tcPr>
            <w:tcW w:w="888" w:type="dxa"/>
          </w:tcPr>
          <w:p w14:paraId="7EB31EF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38B87C1E"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Gra karciana przeznaczona do rozwijania kompetencji emocjonalno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 xml:space="preserve">społecznych u dzieci. Zawiera zestaw kart przedstawiających różne emocje oraz sytuacje społeczne, umożliwiających rozmowę o uczuciach, analizę </w:t>
            </w:r>
            <w:proofErr w:type="spellStart"/>
            <w:r w:rsidRPr="00F4000D">
              <w:rPr>
                <w:rFonts w:asciiTheme="majorHAnsi" w:hAnsiTheme="majorHAnsi" w:cstheme="majorHAnsi"/>
                <w:color w:val="000000" w:themeColor="text1"/>
                <w:sz w:val="24"/>
                <w:szCs w:val="24"/>
                <w:lang w:val="pl-PL"/>
              </w:rPr>
              <w:t>zachowań</w:t>
            </w:r>
            <w:proofErr w:type="spellEnd"/>
            <w:r w:rsidRPr="00F4000D">
              <w:rPr>
                <w:rFonts w:asciiTheme="majorHAnsi" w:hAnsiTheme="majorHAnsi" w:cstheme="majorHAnsi"/>
                <w:color w:val="000000" w:themeColor="text1"/>
                <w:sz w:val="24"/>
                <w:szCs w:val="24"/>
                <w:lang w:val="pl-PL"/>
              </w:rPr>
              <w:t xml:space="preserve"> i poszukiwanie konstruktywnych sposobów reagowania. Gra wspiera rozwój umiejętności rozpoznawania i nazywania </w:t>
            </w:r>
            <w:r w:rsidRPr="00F4000D">
              <w:rPr>
                <w:rFonts w:asciiTheme="majorHAnsi" w:hAnsiTheme="majorHAnsi" w:cstheme="majorHAnsi"/>
                <w:color w:val="000000" w:themeColor="text1"/>
                <w:sz w:val="24"/>
                <w:szCs w:val="24"/>
                <w:lang w:val="pl-PL"/>
              </w:rPr>
              <w:lastRenderedPageBreak/>
              <w:t>emocji, empatii, komunikacji interpersonalnej oraz radzenia sobie w sytuacjach trudnych. Może być wykorzystywana podczas zajęć indywidualnych i grupowych w edukacji przedszkolnej i szkolnej, a także w pracy terapeutycznej z dziećmi wymagającymi wsparcia emocjonalnego. Produkt równoważny musi zapewniać takie same funkcjonalne możliwości dydaktyczne.</w:t>
            </w:r>
          </w:p>
        </w:tc>
      </w:tr>
      <w:tr w:rsidR="0055541E" w:rsidRPr="00F4000D" w14:paraId="242A7DEF" w14:textId="77777777" w:rsidTr="00F4000D">
        <w:trPr>
          <w:jc w:val="center"/>
        </w:trPr>
        <w:tc>
          <w:tcPr>
            <w:tcW w:w="780" w:type="dxa"/>
          </w:tcPr>
          <w:p w14:paraId="44E2AD3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81</w:t>
            </w:r>
          </w:p>
        </w:tc>
        <w:tc>
          <w:tcPr>
            <w:tcW w:w="3115" w:type="dxa"/>
          </w:tcPr>
          <w:p w14:paraId="471BC0DE"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Emocjonalne SOS</w:t>
            </w:r>
          </w:p>
        </w:tc>
        <w:tc>
          <w:tcPr>
            <w:tcW w:w="888" w:type="dxa"/>
          </w:tcPr>
          <w:p w14:paraId="0EC2CCBC"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6234F1BB"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scenariuszy zajęć przeznaczonych do prowadzenia socjoterapii oraz zajęć </w:t>
            </w:r>
            <w:proofErr w:type="spellStart"/>
            <w:r w:rsidRPr="00F4000D">
              <w:rPr>
                <w:rFonts w:asciiTheme="majorHAnsi" w:hAnsiTheme="majorHAnsi" w:cstheme="majorHAnsi"/>
                <w:color w:val="000000" w:themeColor="text1"/>
                <w:sz w:val="24"/>
                <w:szCs w:val="24"/>
                <w:lang w:val="pl-PL"/>
              </w:rPr>
              <w:t>psychoedukacyjnych</w:t>
            </w:r>
            <w:proofErr w:type="spellEnd"/>
            <w:r w:rsidRPr="00F4000D">
              <w:rPr>
                <w:rFonts w:asciiTheme="majorHAnsi" w:hAnsiTheme="majorHAnsi" w:cstheme="majorHAnsi"/>
                <w:color w:val="000000" w:themeColor="text1"/>
                <w:sz w:val="24"/>
                <w:szCs w:val="24"/>
                <w:lang w:val="pl-PL"/>
              </w:rPr>
              <w:t xml:space="preserve"> z uczniami klas I–III szkoły podstawowej. Publikacja zawiera program pracy ukierunkowany na rozwijanie umiejętności społecznych, regulację emocji, wzmacnianie poczucia własnej wartości oraz poprawę funkcjonowania dzieci przejawiających trudności emocjonalne lub wychowawcze. Scenariusze obejmują ćwiczenia integracyjne, zadania wspierające budowanie relacji, rozmowy o emocjach oraz aktywności służące kształtowaniu </w:t>
            </w:r>
            <w:proofErr w:type="spellStart"/>
            <w:r w:rsidRPr="00F4000D">
              <w:rPr>
                <w:rFonts w:asciiTheme="majorHAnsi" w:hAnsiTheme="majorHAnsi" w:cstheme="majorHAnsi"/>
                <w:color w:val="000000" w:themeColor="text1"/>
                <w:sz w:val="24"/>
                <w:szCs w:val="24"/>
                <w:lang w:val="pl-PL"/>
              </w:rPr>
              <w:t>zachowań</w:t>
            </w:r>
            <w:proofErr w:type="spellEnd"/>
            <w:r w:rsidRPr="00F4000D">
              <w:rPr>
                <w:rFonts w:asciiTheme="majorHAnsi" w:hAnsiTheme="majorHAnsi" w:cstheme="majorHAnsi"/>
                <w:color w:val="000000" w:themeColor="text1"/>
                <w:sz w:val="24"/>
                <w:szCs w:val="24"/>
                <w:lang w:val="pl-PL"/>
              </w:rPr>
              <w:t xml:space="preserve"> prospołecznych. Materiał może być wykorzystywany przez pedagogów, psychologów i terapeutów podczas zajęć grupowych i indywidualnych w ramach pomocy psychologiczno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pedagogicznej. Produkt równoważny musi zapewniać takie same funkcjonalne możliwości dydaktyczne.</w:t>
            </w:r>
          </w:p>
        </w:tc>
      </w:tr>
      <w:tr w:rsidR="0055541E" w:rsidRPr="00F4000D" w14:paraId="7891E9E2" w14:textId="77777777" w:rsidTr="00F4000D">
        <w:trPr>
          <w:jc w:val="center"/>
        </w:trPr>
        <w:tc>
          <w:tcPr>
            <w:tcW w:w="780" w:type="dxa"/>
          </w:tcPr>
          <w:p w14:paraId="0D2DFBF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82</w:t>
            </w:r>
          </w:p>
        </w:tc>
        <w:tc>
          <w:tcPr>
            <w:tcW w:w="3115" w:type="dxa"/>
          </w:tcPr>
          <w:p w14:paraId="3828DB4C"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Emocje, relacje i trudne sytuacje. Ćwiczenia rozpoznawania i nazywania uczuć, emocji i relacji. Zestaw 2 publikacji</w:t>
            </w:r>
          </w:p>
        </w:tc>
        <w:tc>
          <w:tcPr>
            <w:tcW w:w="888" w:type="dxa"/>
          </w:tcPr>
          <w:p w14:paraId="1271C9E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325B6DD9"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scenariuszy zajęć przeznaczonych do prowadzenia socjoterapii oraz zajęć </w:t>
            </w:r>
            <w:proofErr w:type="spellStart"/>
            <w:r w:rsidRPr="00F4000D">
              <w:rPr>
                <w:rFonts w:asciiTheme="majorHAnsi" w:hAnsiTheme="majorHAnsi" w:cstheme="majorHAnsi"/>
                <w:color w:val="000000" w:themeColor="text1"/>
                <w:sz w:val="24"/>
                <w:szCs w:val="24"/>
                <w:lang w:val="pl-PL"/>
              </w:rPr>
              <w:t>psychoedukacyjnych</w:t>
            </w:r>
            <w:proofErr w:type="spellEnd"/>
            <w:r w:rsidRPr="00F4000D">
              <w:rPr>
                <w:rFonts w:asciiTheme="majorHAnsi" w:hAnsiTheme="majorHAnsi" w:cstheme="majorHAnsi"/>
                <w:color w:val="000000" w:themeColor="text1"/>
                <w:sz w:val="24"/>
                <w:szCs w:val="24"/>
                <w:lang w:val="pl-PL"/>
              </w:rPr>
              <w:t xml:space="preserve"> z uczniami klas I–III szkoły podstawowej. Publikacja zawiera program pracy ukierunkowany na rozwijanie umiejętności społecznych, regulację emocji, wzmacnianie poczucia własnej wartości oraz poprawę funkcjonowania dzieci przejawiających trudności emocjonalne lub wychowawcze. Scenariusze obejmują ćwiczenia integracyjne, zadania wspierające budowanie relacji, rozmowy o emocjach oraz aktywności służące kształtowaniu </w:t>
            </w:r>
            <w:proofErr w:type="spellStart"/>
            <w:r w:rsidRPr="00F4000D">
              <w:rPr>
                <w:rFonts w:asciiTheme="majorHAnsi" w:hAnsiTheme="majorHAnsi" w:cstheme="majorHAnsi"/>
                <w:color w:val="000000" w:themeColor="text1"/>
                <w:sz w:val="24"/>
                <w:szCs w:val="24"/>
                <w:lang w:val="pl-PL"/>
              </w:rPr>
              <w:t>zachowań</w:t>
            </w:r>
            <w:proofErr w:type="spellEnd"/>
            <w:r w:rsidRPr="00F4000D">
              <w:rPr>
                <w:rFonts w:asciiTheme="majorHAnsi" w:hAnsiTheme="majorHAnsi" w:cstheme="majorHAnsi"/>
                <w:color w:val="000000" w:themeColor="text1"/>
                <w:sz w:val="24"/>
                <w:szCs w:val="24"/>
                <w:lang w:val="pl-PL"/>
              </w:rPr>
              <w:t xml:space="preserve"> prospołecznych. Materiał może być wykorzystywany przez pedagogów, </w:t>
            </w:r>
            <w:r w:rsidRPr="00F4000D">
              <w:rPr>
                <w:rFonts w:asciiTheme="majorHAnsi" w:hAnsiTheme="majorHAnsi" w:cstheme="majorHAnsi"/>
                <w:color w:val="000000" w:themeColor="text1"/>
                <w:sz w:val="24"/>
                <w:szCs w:val="24"/>
                <w:lang w:val="pl-PL"/>
              </w:rPr>
              <w:lastRenderedPageBreak/>
              <w:t>psychologów i terapeutów podczas zajęć grupowych i indywidualnych w ramach pomocy psychologiczno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pedagogicznej. Produkt równoważny musi zapewniać takie same funkcjonalne możliwości dydaktyczne.</w:t>
            </w:r>
          </w:p>
        </w:tc>
      </w:tr>
      <w:tr w:rsidR="0055541E" w:rsidRPr="00F4000D" w14:paraId="27C87875" w14:textId="77777777" w:rsidTr="00F4000D">
        <w:trPr>
          <w:jc w:val="center"/>
        </w:trPr>
        <w:tc>
          <w:tcPr>
            <w:tcW w:w="780" w:type="dxa"/>
          </w:tcPr>
          <w:p w14:paraId="10C66AF5"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83</w:t>
            </w:r>
          </w:p>
        </w:tc>
        <w:tc>
          <w:tcPr>
            <w:tcW w:w="3115" w:type="dxa"/>
          </w:tcPr>
          <w:p w14:paraId="2701E30A"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EMOCJE, UCZUCIA, POTRZEBY</w:t>
            </w:r>
          </w:p>
        </w:tc>
        <w:tc>
          <w:tcPr>
            <w:tcW w:w="888" w:type="dxa"/>
          </w:tcPr>
          <w:p w14:paraId="0E6FCCA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720AEA39"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materiałów edukacyjnych służących rozwijaniu umiejętności rozpoznawania, nazywania i rozumienia emocji oraz związanych z nimi potrzeb u dzieci. Publikacja obejmuje karty i zadania umożliwiające analizowanie różnych uczuć, identyfikowanie przyczyn pojawiających się emocji, a także ćwiczenie sposobów wyrażania ich w sposób społecznie akceptowalny. Materiał wspiera rozwój empatii, komunikacji interpersonalnej oraz świadomości własnych potrzeb i granic. Może być wykorzystywany podczas zajęć indywidualnych i grupowych, w edukacji przedszkolnej i wczesnoszkolnej, a także w pracy z dziećmi wymagającymi wsparcia emocjonalnego i społecznego. Produkt równoważny musi zapewniać takie same funkcjonalne możliwości dydaktyczne.</w:t>
            </w:r>
          </w:p>
        </w:tc>
      </w:tr>
      <w:tr w:rsidR="0055541E" w:rsidRPr="00F4000D" w14:paraId="33D22B41" w14:textId="77777777" w:rsidTr="00F4000D">
        <w:trPr>
          <w:jc w:val="center"/>
        </w:trPr>
        <w:tc>
          <w:tcPr>
            <w:tcW w:w="780" w:type="dxa"/>
          </w:tcPr>
          <w:p w14:paraId="50C1DB9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84</w:t>
            </w:r>
          </w:p>
        </w:tc>
        <w:tc>
          <w:tcPr>
            <w:tcW w:w="3115" w:type="dxa"/>
          </w:tcPr>
          <w:p w14:paraId="381348AA"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Buduję poczucie własnej wartości Karty pracy dla dzieci i młodzieży z niską samooceną oraz ze spektrum autyzmu</w:t>
            </w:r>
          </w:p>
        </w:tc>
        <w:tc>
          <w:tcPr>
            <w:tcW w:w="888" w:type="dxa"/>
          </w:tcPr>
          <w:p w14:paraId="56D77CC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23DB6C30"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kart pracy przeznaczonych do rozwijania poczucia własnej wartości u dzieci i młodzieży, w tym uczniów z niską samooceną oraz ze spektrum autyzmu. Materiał zawiera ćwiczenia umożliwiające identyfikowanie mocnych stron, budowanie pozytywnego obrazu siebie, rozwijanie samoświadomości oraz wzmacnianie poczucia sprawczości. Zadania wspierają także rozwój kompetencji emocjonalno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społecznych, takich jak rozpoznawanie emocji, analiza relacji i konstruktywne wyrażanie potrzeb. Publikacja może być wykorzystywana podczas zajęć indywidualnych i grupowych, w tym rewalidacyjnych, terapeutycznych oraz wychowawczych. Produkt równoważny musi zapewniać takie same funkcjonalne możliwości dydaktyczne.</w:t>
            </w:r>
          </w:p>
        </w:tc>
      </w:tr>
      <w:tr w:rsidR="0055541E" w:rsidRPr="00F4000D" w14:paraId="773C56B9" w14:textId="77777777" w:rsidTr="00F4000D">
        <w:trPr>
          <w:jc w:val="center"/>
        </w:trPr>
        <w:tc>
          <w:tcPr>
            <w:tcW w:w="780" w:type="dxa"/>
          </w:tcPr>
          <w:p w14:paraId="20D230D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85</w:t>
            </w:r>
          </w:p>
        </w:tc>
        <w:tc>
          <w:tcPr>
            <w:tcW w:w="3115" w:type="dxa"/>
          </w:tcPr>
          <w:p w14:paraId="3AA83B83"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Karty konwersacyjne do nauki języka angielskiego (gra)</w:t>
            </w:r>
          </w:p>
        </w:tc>
        <w:tc>
          <w:tcPr>
            <w:tcW w:w="888" w:type="dxa"/>
          </w:tcPr>
          <w:p w14:paraId="62FFEC2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0F136CA9"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Gra karciana przeznaczona do rozwijania umiejętności komunikacyjnych, społecznych i językowych u dzieci i młodzieży. Zawiera </w:t>
            </w:r>
            <w:r w:rsidRPr="00F4000D">
              <w:rPr>
                <w:rFonts w:asciiTheme="majorHAnsi" w:hAnsiTheme="majorHAnsi" w:cstheme="majorHAnsi"/>
                <w:color w:val="000000" w:themeColor="text1"/>
                <w:sz w:val="24"/>
                <w:szCs w:val="24"/>
                <w:lang w:val="pl-PL"/>
              </w:rPr>
              <w:lastRenderedPageBreak/>
              <w:t>zestaw kart z pytaniami, zadaniami lub zwrotami konwersacyjnymi, które zachęcają do rozmowy, wymiany opinii, budowania argumentów i reagowania na wypowiedzi innych osób. Gra wspiera rozwój kompetencji interpersonalnych, pewności siebie w komunikacji, umiejętności słuchania oraz współpracy w grupie. Może być wykorzystywana podczas zajęć edukacyjnych, wychowawczych, terapeutycznych oraz w pracy indywidualnej i grupowej. Produkt równoważny musi zapewniać takie same funkcjonalne możliwości dydaktyczne.</w:t>
            </w:r>
          </w:p>
        </w:tc>
      </w:tr>
      <w:tr w:rsidR="0055541E" w:rsidRPr="00F4000D" w14:paraId="08FB33DE" w14:textId="77777777" w:rsidTr="00F4000D">
        <w:trPr>
          <w:jc w:val="center"/>
        </w:trPr>
        <w:tc>
          <w:tcPr>
            <w:tcW w:w="780" w:type="dxa"/>
          </w:tcPr>
          <w:p w14:paraId="60D7F46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86</w:t>
            </w:r>
          </w:p>
        </w:tc>
        <w:tc>
          <w:tcPr>
            <w:tcW w:w="3115" w:type="dxa"/>
          </w:tcPr>
          <w:p w14:paraId="57C84E10"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Gra </w:t>
            </w:r>
            <w:proofErr w:type="spellStart"/>
            <w:r w:rsidRPr="00F4000D">
              <w:rPr>
                <w:rFonts w:asciiTheme="majorHAnsi" w:hAnsiTheme="majorHAnsi" w:cstheme="majorHAnsi"/>
                <w:color w:val="000000" w:themeColor="text1"/>
                <w:sz w:val="24"/>
                <w:szCs w:val="24"/>
                <w:lang w:val="pl-PL"/>
              </w:rPr>
              <w:t>językomania</w:t>
            </w:r>
            <w:proofErr w:type="spellEnd"/>
            <w:r w:rsidRPr="00F4000D">
              <w:rPr>
                <w:rFonts w:asciiTheme="majorHAnsi" w:hAnsiTheme="majorHAnsi" w:cstheme="majorHAnsi"/>
                <w:color w:val="000000" w:themeColor="text1"/>
                <w:sz w:val="24"/>
                <w:szCs w:val="24"/>
                <w:lang w:val="pl-PL"/>
              </w:rPr>
              <w:t xml:space="preserve"> lub równoważna</w:t>
            </w:r>
          </w:p>
        </w:tc>
        <w:tc>
          <w:tcPr>
            <w:tcW w:w="888" w:type="dxa"/>
          </w:tcPr>
          <w:p w14:paraId="3A67A78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3593FA6F"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Gra edukacyjna do nauki czytania i pisania w języku angielskim: ≥ 80 kart (sylaby/wyrazy + ilustracje), ≥ 10 zestawów ćwiczeniowych (łączenie sylab, dopasowanie wyraz–obraz, poprawna pisownia), dla 2–6 graczy, 6+.</w:t>
            </w:r>
            <w:r w:rsidRPr="00F4000D">
              <w:rPr>
                <w:rFonts w:asciiTheme="majorHAnsi" w:hAnsiTheme="majorHAnsi" w:cstheme="majorHAnsi"/>
                <w:color w:val="000000" w:themeColor="text1"/>
                <w:sz w:val="24"/>
                <w:szCs w:val="24"/>
                <w:lang w:val="pl-PL"/>
              </w:rPr>
              <w:br/>
              <w:t>Równoważność: dopuszcza się inną grę, jeżeli zawiera porównywalną liczbę kart, warianty łączenia sylab i ilustracje wspierające rozumienie.</w:t>
            </w:r>
          </w:p>
        </w:tc>
      </w:tr>
      <w:tr w:rsidR="0055541E" w:rsidRPr="00F4000D" w14:paraId="41C06DBA" w14:textId="77777777" w:rsidTr="00F4000D">
        <w:trPr>
          <w:jc w:val="center"/>
        </w:trPr>
        <w:tc>
          <w:tcPr>
            <w:tcW w:w="780" w:type="dxa"/>
          </w:tcPr>
          <w:p w14:paraId="2801805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87</w:t>
            </w:r>
          </w:p>
        </w:tc>
        <w:tc>
          <w:tcPr>
            <w:tcW w:w="3115" w:type="dxa"/>
          </w:tcPr>
          <w:p w14:paraId="5CA4BE3A"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The Story Maker - gra językowa - język angielski lub równoważna</w:t>
            </w:r>
          </w:p>
        </w:tc>
        <w:tc>
          <w:tcPr>
            <w:tcW w:w="888" w:type="dxa"/>
          </w:tcPr>
          <w:p w14:paraId="37229B40"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45AABA78"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Gra do tworzenia wypowiedzi ustnych i pisemnych w j. angielskim: ≥ 100 elementów podzielonych na co najmniej 4 kategorie (np. postaci, miejsca, czynności, przedmioty), pozwalająca budować zdania i krótkie historie. Karty podpowiedzi (startery), instrukcja z wariantami gry.</w:t>
            </w:r>
            <w:r w:rsidRPr="00F4000D">
              <w:rPr>
                <w:rFonts w:asciiTheme="majorHAnsi" w:hAnsiTheme="majorHAnsi" w:cstheme="majorHAnsi"/>
                <w:color w:val="000000" w:themeColor="text1"/>
                <w:sz w:val="24"/>
                <w:szCs w:val="24"/>
                <w:lang w:val="pl-PL"/>
              </w:rPr>
              <w:br/>
              <w:t>Równoważność: akceptowalne inne zestawy narracyjne o porównywalnej liczbie kategorii i elementów oraz funkcji budowania wypowiedzi.</w:t>
            </w:r>
          </w:p>
        </w:tc>
      </w:tr>
      <w:tr w:rsidR="0055541E" w:rsidRPr="00F4000D" w14:paraId="46712EFB" w14:textId="77777777" w:rsidTr="00F4000D">
        <w:trPr>
          <w:jc w:val="center"/>
        </w:trPr>
        <w:tc>
          <w:tcPr>
            <w:tcW w:w="780" w:type="dxa"/>
          </w:tcPr>
          <w:p w14:paraId="0E3E542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88</w:t>
            </w:r>
          </w:p>
        </w:tc>
        <w:tc>
          <w:tcPr>
            <w:tcW w:w="3115" w:type="dxa"/>
          </w:tcPr>
          <w:p w14:paraId="082E74D8" w14:textId="77777777" w:rsidR="00372C08" w:rsidRPr="00F4000D" w:rsidRDefault="000B756A" w:rsidP="00982048">
            <w:pPr>
              <w:rPr>
                <w:rFonts w:asciiTheme="majorHAnsi" w:hAnsiTheme="majorHAnsi" w:cstheme="majorHAnsi"/>
                <w:color w:val="000000" w:themeColor="text1"/>
                <w:sz w:val="24"/>
                <w:szCs w:val="24"/>
                <w:lang w:val="pl-PL"/>
              </w:rPr>
            </w:pPr>
            <w:proofErr w:type="spellStart"/>
            <w:r w:rsidRPr="00F4000D">
              <w:rPr>
                <w:rFonts w:asciiTheme="majorHAnsi" w:hAnsiTheme="majorHAnsi" w:cstheme="majorHAnsi"/>
                <w:color w:val="000000" w:themeColor="text1"/>
                <w:sz w:val="24"/>
                <w:szCs w:val="24"/>
                <w:lang w:val="pl-PL"/>
              </w:rPr>
              <w:t>Die</w:t>
            </w:r>
            <w:proofErr w:type="spellEnd"/>
            <w:r w:rsidRPr="00F4000D">
              <w:rPr>
                <w:rFonts w:asciiTheme="majorHAnsi" w:hAnsiTheme="majorHAnsi" w:cstheme="majorHAnsi"/>
                <w:color w:val="000000" w:themeColor="text1"/>
                <w:sz w:val="24"/>
                <w:szCs w:val="24"/>
                <w:lang w:val="pl-PL"/>
              </w:rPr>
              <w:t xml:space="preserve"> </w:t>
            </w:r>
            <w:proofErr w:type="spellStart"/>
            <w:r w:rsidRPr="00F4000D">
              <w:rPr>
                <w:rFonts w:asciiTheme="majorHAnsi" w:hAnsiTheme="majorHAnsi" w:cstheme="majorHAnsi"/>
                <w:color w:val="000000" w:themeColor="text1"/>
                <w:sz w:val="24"/>
                <w:szCs w:val="24"/>
                <w:lang w:val="pl-PL"/>
              </w:rPr>
              <w:t>Erzählwerkstatt</w:t>
            </w:r>
            <w:proofErr w:type="spellEnd"/>
            <w:r w:rsidRPr="00F4000D">
              <w:rPr>
                <w:rFonts w:asciiTheme="majorHAnsi" w:hAnsiTheme="majorHAnsi" w:cstheme="majorHAnsi"/>
                <w:color w:val="000000" w:themeColor="text1"/>
                <w:sz w:val="24"/>
                <w:szCs w:val="24"/>
                <w:lang w:val="pl-PL"/>
              </w:rPr>
              <w:t xml:space="preserve"> - gra językowa - język niemiecki lub równoważna</w:t>
            </w:r>
          </w:p>
        </w:tc>
        <w:tc>
          <w:tcPr>
            <w:tcW w:w="888" w:type="dxa"/>
          </w:tcPr>
          <w:p w14:paraId="794549CC"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722D1450" w14:textId="124757F6"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Edukacyjna gra karciana przeznaczona do rozwijania umiejętności tworzenia wypowiedzi ustnych w języku niemieckim. Zawiera zestaw kart przedstawiających różne postacie, miejsca, czynności i przedmioty, które umożliwiają konstruowanie zdań oraz krótkich historii. Gra wspiera rozwój słownictwa, budowanie poprawnych struktur gramatycznych, ćwiczenie komunikacji ustnej oraz rozwijanie kreatywności językowej. Może być wykorzystywana podczas zajęć indywidualnych </w:t>
            </w:r>
            <w:r w:rsidRPr="00F4000D">
              <w:rPr>
                <w:rFonts w:asciiTheme="majorHAnsi" w:hAnsiTheme="majorHAnsi" w:cstheme="majorHAnsi"/>
                <w:color w:val="000000" w:themeColor="text1"/>
                <w:sz w:val="24"/>
                <w:szCs w:val="24"/>
                <w:lang w:val="pl-PL"/>
              </w:rPr>
              <w:lastRenderedPageBreak/>
              <w:t>i grupowych w edukacji szkolnej i pozaszkolnej, w tym w pracy z dziećmi, młodzieżą oraz osobami początkującymi i średnio zaawansowanymi w nauce języka niemieckiego. Produkt równoważny musi zapewniać takie same funkcjonalne możliwości dydaktyczne</w:t>
            </w:r>
            <w:r w:rsidR="00982048">
              <w:rPr>
                <w:rFonts w:asciiTheme="majorHAnsi" w:hAnsiTheme="majorHAnsi" w:cstheme="majorHAnsi"/>
                <w:color w:val="000000" w:themeColor="text1"/>
                <w:sz w:val="24"/>
                <w:szCs w:val="24"/>
                <w:lang w:val="pl-PL"/>
              </w:rPr>
              <w:t>.</w:t>
            </w:r>
          </w:p>
        </w:tc>
      </w:tr>
      <w:tr w:rsidR="0055541E" w:rsidRPr="00F4000D" w14:paraId="65846327" w14:textId="77777777" w:rsidTr="00F4000D">
        <w:trPr>
          <w:jc w:val="center"/>
        </w:trPr>
        <w:tc>
          <w:tcPr>
            <w:tcW w:w="780" w:type="dxa"/>
          </w:tcPr>
          <w:p w14:paraId="7F243F00"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89</w:t>
            </w:r>
          </w:p>
        </w:tc>
        <w:tc>
          <w:tcPr>
            <w:tcW w:w="3115" w:type="dxa"/>
          </w:tcPr>
          <w:p w14:paraId="2C91F1D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Suszarka na prace plastyczne</w:t>
            </w:r>
          </w:p>
        </w:tc>
        <w:tc>
          <w:tcPr>
            <w:tcW w:w="888" w:type="dxa"/>
          </w:tcPr>
          <w:p w14:paraId="75F69A5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873" w:type="dxa"/>
          </w:tcPr>
          <w:p w14:paraId="108BFD62" w14:textId="4D92C2C8"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Metalowa suszarka do prac plastycznych. </w:t>
            </w:r>
            <w:r w:rsidRPr="00F4000D">
              <w:rPr>
                <w:rFonts w:asciiTheme="majorHAnsi" w:hAnsiTheme="majorHAnsi" w:cstheme="majorHAnsi"/>
                <w:color w:val="000000" w:themeColor="text1"/>
                <w:sz w:val="24"/>
                <w:szCs w:val="24"/>
                <w:lang w:val="pl-PL"/>
              </w:rPr>
              <w:br/>
              <w:t xml:space="preserve">Wyposażona w kółeczka i możliwość regulacji. </w:t>
            </w:r>
            <w:r w:rsidRPr="00F4000D">
              <w:rPr>
                <w:rFonts w:asciiTheme="majorHAnsi" w:hAnsiTheme="majorHAnsi" w:cstheme="majorHAnsi"/>
                <w:color w:val="000000" w:themeColor="text1"/>
                <w:sz w:val="24"/>
                <w:szCs w:val="24"/>
                <w:lang w:val="pl-PL"/>
              </w:rPr>
              <w:br/>
              <w:t xml:space="preserve">Stelaż suszarki pokryty lakierem epoksydowym. </w:t>
            </w:r>
            <w:r w:rsidRPr="00F4000D">
              <w:rPr>
                <w:rFonts w:asciiTheme="majorHAnsi" w:hAnsiTheme="majorHAnsi" w:cstheme="majorHAnsi"/>
                <w:color w:val="000000" w:themeColor="text1"/>
                <w:sz w:val="24"/>
                <w:szCs w:val="24"/>
                <w:lang w:val="pl-PL"/>
              </w:rPr>
              <w:br/>
              <w:t>Liczba poziomów: 25 oddzielnych półek na prace plastyczne. Każda półka zapewnia możliwość ułożenia pojedynczej pracy bez kontaktu z innymi poziomami.</w:t>
            </w:r>
            <w:r w:rsidRPr="00F4000D">
              <w:rPr>
                <w:rFonts w:asciiTheme="majorHAnsi" w:hAnsiTheme="majorHAnsi" w:cstheme="majorHAnsi"/>
                <w:color w:val="000000" w:themeColor="text1"/>
                <w:sz w:val="24"/>
                <w:szCs w:val="24"/>
                <w:lang w:val="pl-PL"/>
              </w:rPr>
              <w:br/>
              <w:t>wym.: ok. 43 x 40 x 99 cm</w:t>
            </w:r>
            <w:r w:rsidR="00982048">
              <w:rPr>
                <w:rFonts w:asciiTheme="majorHAnsi" w:hAnsiTheme="majorHAnsi" w:cstheme="majorHAnsi"/>
                <w:color w:val="000000" w:themeColor="text1"/>
                <w:sz w:val="24"/>
                <w:szCs w:val="24"/>
                <w:lang w:val="pl-PL"/>
              </w:rPr>
              <w:t>.</w:t>
            </w:r>
            <w:r w:rsidRPr="00F4000D">
              <w:rPr>
                <w:rFonts w:asciiTheme="majorHAnsi" w:hAnsiTheme="majorHAnsi" w:cstheme="majorHAnsi"/>
                <w:color w:val="000000" w:themeColor="text1"/>
                <w:sz w:val="24"/>
                <w:szCs w:val="24"/>
                <w:lang w:val="pl-PL"/>
              </w:rPr>
              <w:br/>
              <w:t>Metalowa suszarka przeznaczona do suszenia i przechowywania prac plastycznych w placówkach edukacyjnych. Wyposażona w wielopoziomową konstrukcję umożliwiającą jednoczesne ułożenie wielu prac oraz w kółka zapewniające łatwe przemieszczanie. Konstrukcja powinna być stabilna, odporna na uszkodzenia i wykonana z materiału zabezpieczonego powłoką ochronną. Suszarka powinna posiadać co najmniej 25 oddzielnych poziomów do układania prac oraz umożliwiać wygodne użytkowanie podczas zajęć plastycznych. Produkt równoważny musi zapewniać takie same funkcjonalne możliwości przechowywania, suszenia i mobilności.</w:t>
            </w:r>
          </w:p>
        </w:tc>
      </w:tr>
      <w:tr w:rsidR="0055541E" w:rsidRPr="00F4000D" w14:paraId="655592B4" w14:textId="77777777" w:rsidTr="00F4000D">
        <w:trPr>
          <w:jc w:val="center"/>
        </w:trPr>
        <w:tc>
          <w:tcPr>
            <w:tcW w:w="780" w:type="dxa"/>
          </w:tcPr>
          <w:p w14:paraId="22DCC51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90</w:t>
            </w:r>
          </w:p>
        </w:tc>
        <w:tc>
          <w:tcPr>
            <w:tcW w:w="3115" w:type="dxa"/>
          </w:tcPr>
          <w:p w14:paraId="0A8272E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Duży zestaw malarski</w:t>
            </w:r>
          </w:p>
        </w:tc>
        <w:tc>
          <w:tcPr>
            <w:tcW w:w="888" w:type="dxa"/>
          </w:tcPr>
          <w:p w14:paraId="497ED67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10</w:t>
            </w:r>
          </w:p>
        </w:tc>
        <w:tc>
          <w:tcPr>
            <w:tcW w:w="4873" w:type="dxa"/>
          </w:tcPr>
          <w:p w14:paraId="21F594AE"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Sztaluga: drewniana, stabilna, zakres regulacji wysokości 50–170 cm (±10%), do pracy stojącej i stołowej; możliwość mocowania podłoża min. do 60 cm wysokości.</w:t>
            </w:r>
            <w:r w:rsidRPr="00F4000D">
              <w:rPr>
                <w:rFonts w:asciiTheme="majorHAnsi" w:hAnsiTheme="majorHAnsi" w:cstheme="majorHAnsi"/>
                <w:color w:val="000000" w:themeColor="text1"/>
                <w:sz w:val="24"/>
                <w:szCs w:val="24"/>
                <w:lang w:val="pl-PL"/>
              </w:rPr>
              <w:br/>
              <w:t>Farby akrylowe: ≥ 12 kolorów, pojemność każdej tuby ≥ 12 ml; konsystencja do pracy szkolnej, mieszalność barw.</w:t>
            </w:r>
            <w:r w:rsidRPr="00F4000D">
              <w:rPr>
                <w:rFonts w:asciiTheme="majorHAnsi" w:hAnsiTheme="majorHAnsi" w:cstheme="majorHAnsi"/>
                <w:color w:val="000000" w:themeColor="text1"/>
                <w:sz w:val="24"/>
                <w:szCs w:val="24"/>
                <w:lang w:val="pl-PL"/>
              </w:rPr>
              <w:br/>
              <w:t>Pędzle: ≥ 10 szt. o zróżnicowanych kształtach (płaskie/okrągłe) i rozmiarach (detal + wypełnienia); włosie syntetyczne lub naturalne równoważne, trzonki lakierowane.</w:t>
            </w:r>
            <w:r w:rsidRPr="00F4000D">
              <w:rPr>
                <w:rFonts w:asciiTheme="majorHAnsi" w:hAnsiTheme="majorHAnsi" w:cstheme="majorHAnsi"/>
                <w:color w:val="000000" w:themeColor="text1"/>
                <w:sz w:val="24"/>
                <w:szCs w:val="24"/>
                <w:lang w:val="pl-PL"/>
              </w:rPr>
              <w:br/>
              <w:t>Podłoża: ≥ 2 płótna/panele – min. 25×25 cm oraz min. 30×40 cm (po jednym z każdego rozmiaru lub więcej).</w:t>
            </w:r>
            <w:r w:rsidRPr="00F4000D">
              <w:rPr>
                <w:rFonts w:asciiTheme="majorHAnsi" w:hAnsiTheme="majorHAnsi" w:cstheme="majorHAnsi"/>
                <w:color w:val="000000" w:themeColor="text1"/>
                <w:sz w:val="24"/>
                <w:szCs w:val="24"/>
                <w:lang w:val="pl-PL"/>
              </w:rPr>
              <w:br/>
            </w:r>
            <w:r w:rsidRPr="00F4000D">
              <w:rPr>
                <w:rFonts w:asciiTheme="majorHAnsi" w:hAnsiTheme="majorHAnsi" w:cstheme="majorHAnsi"/>
                <w:color w:val="000000" w:themeColor="text1"/>
                <w:sz w:val="24"/>
                <w:szCs w:val="24"/>
                <w:lang w:val="pl-PL"/>
              </w:rPr>
              <w:lastRenderedPageBreak/>
              <w:t>Paleta + podstawowe akcesoria (np. kubek/pojemnik na wodę).</w:t>
            </w:r>
            <w:r w:rsidRPr="00F4000D">
              <w:rPr>
                <w:rFonts w:asciiTheme="majorHAnsi" w:hAnsiTheme="majorHAnsi" w:cstheme="majorHAnsi"/>
                <w:color w:val="000000" w:themeColor="text1"/>
                <w:sz w:val="24"/>
                <w:szCs w:val="24"/>
                <w:lang w:val="pl-PL"/>
              </w:rPr>
              <w:br/>
              <w:t>Równoważność: dopuszcza się zestawy o równoważnej kompletacji i parametrach (zakres regulacji sztalugi, liczba/pojemność farb, liczba/typ pędzli, formaty podłoży).</w:t>
            </w:r>
          </w:p>
        </w:tc>
      </w:tr>
      <w:tr w:rsidR="0055541E" w:rsidRPr="00F4000D" w14:paraId="35C490EF" w14:textId="77777777" w:rsidTr="00F4000D">
        <w:trPr>
          <w:jc w:val="center"/>
        </w:trPr>
        <w:tc>
          <w:tcPr>
            <w:tcW w:w="780" w:type="dxa"/>
          </w:tcPr>
          <w:p w14:paraId="1EE9E5C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91</w:t>
            </w:r>
          </w:p>
        </w:tc>
        <w:tc>
          <w:tcPr>
            <w:tcW w:w="3115" w:type="dxa"/>
          </w:tcPr>
          <w:p w14:paraId="0E20A35E"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Wyprawka kreatywna (zajęcia plastyczne)</w:t>
            </w:r>
          </w:p>
        </w:tc>
        <w:tc>
          <w:tcPr>
            <w:tcW w:w="888" w:type="dxa"/>
          </w:tcPr>
          <w:p w14:paraId="1527F6B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5</w:t>
            </w:r>
          </w:p>
        </w:tc>
        <w:tc>
          <w:tcPr>
            <w:tcW w:w="4873" w:type="dxa"/>
          </w:tcPr>
          <w:p w14:paraId="39315CDE" w14:textId="56064205"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materiałów do prac grupowych:</w:t>
            </w:r>
            <w:r w:rsidRPr="00F4000D">
              <w:rPr>
                <w:rFonts w:asciiTheme="majorHAnsi" w:hAnsiTheme="majorHAnsi" w:cstheme="majorHAnsi"/>
                <w:color w:val="000000" w:themeColor="text1"/>
                <w:sz w:val="24"/>
                <w:szCs w:val="24"/>
                <w:lang w:val="pl-PL"/>
              </w:rPr>
              <w:br/>
              <w:t>Papier/podłoża: ≥ 50 arkuszy (mix kolorów i gramatur min. 80–220 g/m²).</w:t>
            </w:r>
            <w:r w:rsidRPr="00F4000D">
              <w:rPr>
                <w:rFonts w:asciiTheme="majorHAnsi" w:hAnsiTheme="majorHAnsi" w:cstheme="majorHAnsi"/>
                <w:color w:val="000000" w:themeColor="text1"/>
                <w:sz w:val="24"/>
                <w:szCs w:val="24"/>
                <w:lang w:val="pl-PL"/>
              </w:rPr>
              <w:br/>
              <w:t>Elementy przestrzenne: ≥ 100 pomponów, ≥ 50 drucików kreatywnych (mix kolorów/długości).</w:t>
            </w:r>
            <w:r w:rsidRPr="00F4000D">
              <w:rPr>
                <w:rFonts w:asciiTheme="majorHAnsi" w:hAnsiTheme="majorHAnsi" w:cstheme="majorHAnsi"/>
                <w:color w:val="000000" w:themeColor="text1"/>
                <w:sz w:val="24"/>
                <w:szCs w:val="24"/>
                <w:lang w:val="pl-PL"/>
              </w:rPr>
              <w:br/>
              <w:t>Elementy ozdobne sypkie: ≥ 6 opakowań (mix: brokat, cekiny, konfetti, piasek ozdobny).</w:t>
            </w:r>
            <w:r w:rsidRPr="00F4000D">
              <w:rPr>
                <w:rFonts w:asciiTheme="majorHAnsi" w:hAnsiTheme="majorHAnsi" w:cstheme="majorHAnsi"/>
                <w:color w:val="000000" w:themeColor="text1"/>
                <w:sz w:val="24"/>
                <w:szCs w:val="24"/>
                <w:lang w:val="pl-PL"/>
              </w:rPr>
              <w:br/>
              <w:t>Kształty gotowe (pianka/papier/filc): ≥ 200 szt. w min. 10 wzorach.</w:t>
            </w:r>
            <w:r w:rsidRPr="00F4000D">
              <w:rPr>
                <w:rFonts w:asciiTheme="majorHAnsi" w:hAnsiTheme="majorHAnsi" w:cstheme="majorHAnsi"/>
                <w:color w:val="000000" w:themeColor="text1"/>
                <w:sz w:val="24"/>
                <w:szCs w:val="24"/>
                <w:lang w:val="pl-PL"/>
              </w:rPr>
              <w:br/>
              <w:t>Klej: masa klejąca/szkolny w sztyfcie ≥ 4 szt. + taśma dwustronna ≥ 2 rolki.</w:t>
            </w:r>
            <w:r w:rsidRPr="00F4000D">
              <w:rPr>
                <w:rFonts w:asciiTheme="majorHAnsi" w:hAnsiTheme="majorHAnsi" w:cstheme="majorHAnsi"/>
                <w:color w:val="000000" w:themeColor="text1"/>
                <w:sz w:val="24"/>
                <w:szCs w:val="24"/>
                <w:lang w:val="pl-PL"/>
              </w:rPr>
              <w:br/>
              <w:t>Nożyczki szkolne: ≥ 6 szt.</w:t>
            </w:r>
            <w:r w:rsidRPr="00F4000D">
              <w:rPr>
                <w:rFonts w:asciiTheme="majorHAnsi" w:hAnsiTheme="majorHAnsi" w:cstheme="majorHAnsi"/>
                <w:color w:val="000000" w:themeColor="text1"/>
                <w:sz w:val="24"/>
                <w:szCs w:val="24"/>
                <w:lang w:val="pl-PL"/>
              </w:rPr>
              <w:br/>
              <w:t>Pojemnik/</w:t>
            </w:r>
            <w:proofErr w:type="spellStart"/>
            <w:r w:rsidRPr="00F4000D">
              <w:rPr>
                <w:rFonts w:asciiTheme="majorHAnsi" w:hAnsiTheme="majorHAnsi" w:cstheme="majorHAnsi"/>
                <w:color w:val="000000" w:themeColor="text1"/>
                <w:sz w:val="24"/>
                <w:szCs w:val="24"/>
                <w:lang w:val="pl-PL"/>
              </w:rPr>
              <w:t>organizer</w:t>
            </w:r>
            <w:proofErr w:type="spellEnd"/>
            <w:r w:rsidRPr="00F4000D">
              <w:rPr>
                <w:rFonts w:asciiTheme="majorHAnsi" w:hAnsiTheme="majorHAnsi" w:cstheme="majorHAnsi"/>
                <w:color w:val="000000" w:themeColor="text1"/>
                <w:sz w:val="24"/>
                <w:szCs w:val="24"/>
                <w:lang w:val="pl-PL"/>
              </w:rPr>
              <w:t>.</w:t>
            </w:r>
            <w:r w:rsidRPr="00F4000D">
              <w:rPr>
                <w:rFonts w:asciiTheme="majorHAnsi" w:hAnsiTheme="majorHAnsi" w:cstheme="majorHAnsi"/>
                <w:color w:val="000000" w:themeColor="text1"/>
                <w:sz w:val="24"/>
                <w:szCs w:val="24"/>
                <w:lang w:val="pl-PL"/>
              </w:rPr>
              <w:br/>
              <w:t>Równoważność: dopuszcza się inną kompozycję zestawu pod warunkiem zachowania min. 6 grup materiałów i nie mniejszej liczby elementów (łącznie ≥ 400 szt.) oraz ich przydatności do technik: kolaż, papieroplastyka, dekoracje 3D.</w:t>
            </w:r>
          </w:p>
        </w:tc>
      </w:tr>
      <w:tr w:rsidR="0055541E" w:rsidRPr="00F4000D" w14:paraId="2A5470AF" w14:textId="77777777" w:rsidTr="00F4000D">
        <w:trPr>
          <w:jc w:val="center"/>
        </w:trPr>
        <w:tc>
          <w:tcPr>
            <w:tcW w:w="780" w:type="dxa"/>
          </w:tcPr>
          <w:p w14:paraId="50F8E3F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92</w:t>
            </w:r>
          </w:p>
        </w:tc>
        <w:tc>
          <w:tcPr>
            <w:tcW w:w="3115" w:type="dxa"/>
          </w:tcPr>
          <w:p w14:paraId="774E249D"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Długopisy 3D zestaw 6 szt. z akcesoriami w walizce (zestaw)</w:t>
            </w:r>
          </w:p>
        </w:tc>
        <w:tc>
          <w:tcPr>
            <w:tcW w:w="888" w:type="dxa"/>
          </w:tcPr>
          <w:p w14:paraId="0BDF897C"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w:t>
            </w:r>
          </w:p>
        </w:tc>
        <w:tc>
          <w:tcPr>
            <w:tcW w:w="4873" w:type="dxa"/>
          </w:tcPr>
          <w:p w14:paraId="19AA037C"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edukacyjnych długopisów 3D przeznaczony do prowadzenia zajęć szkolnych z wykorzystaniem techniki druku przestrzennego. W skład zestawu powinno wchodzić 6 urządzeń umożliwiających pracę na </w:t>
            </w:r>
            <w:proofErr w:type="spellStart"/>
            <w:r w:rsidRPr="00F4000D">
              <w:rPr>
                <w:rFonts w:asciiTheme="majorHAnsi" w:hAnsiTheme="majorHAnsi" w:cstheme="majorHAnsi"/>
                <w:color w:val="000000" w:themeColor="text1"/>
                <w:sz w:val="24"/>
                <w:szCs w:val="24"/>
                <w:lang w:val="pl-PL"/>
              </w:rPr>
              <w:t>filamentach</w:t>
            </w:r>
            <w:proofErr w:type="spellEnd"/>
            <w:r w:rsidRPr="00F4000D">
              <w:rPr>
                <w:rFonts w:asciiTheme="majorHAnsi" w:hAnsiTheme="majorHAnsi" w:cstheme="majorHAnsi"/>
                <w:color w:val="000000" w:themeColor="text1"/>
                <w:sz w:val="24"/>
                <w:szCs w:val="24"/>
                <w:lang w:val="pl-PL"/>
              </w:rPr>
              <w:t xml:space="preserve"> o średnicy 1,75 mm oraz posiadających regulację prędkości pracy, tryb automatyczny i ręczny oraz wskaźniki pracy lub wyświetlacz informacyjny. Długopisy powinny automatycznie wyłączać się przy braku użytkowania oraz umożliwiać pracę w zakresie temperatur dostosowanych do standardowych </w:t>
            </w:r>
            <w:proofErr w:type="spellStart"/>
            <w:r w:rsidRPr="00F4000D">
              <w:rPr>
                <w:rFonts w:asciiTheme="majorHAnsi" w:hAnsiTheme="majorHAnsi" w:cstheme="majorHAnsi"/>
                <w:color w:val="000000" w:themeColor="text1"/>
                <w:sz w:val="24"/>
                <w:szCs w:val="24"/>
                <w:lang w:val="pl-PL"/>
              </w:rPr>
              <w:t>filamentów</w:t>
            </w:r>
            <w:proofErr w:type="spellEnd"/>
            <w:r w:rsidRPr="00F4000D">
              <w:rPr>
                <w:rFonts w:asciiTheme="majorHAnsi" w:hAnsiTheme="majorHAnsi" w:cstheme="majorHAnsi"/>
                <w:color w:val="000000" w:themeColor="text1"/>
                <w:sz w:val="24"/>
                <w:szCs w:val="24"/>
                <w:lang w:val="pl-PL"/>
              </w:rPr>
              <w:t xml:space="preserve"> edukacyjnych. Zestaw powinien obejmować akcesoria umożliwiające pracę bez dostępu do stałego zasilania (</w:t>
            </w:r>
            <w:proofErr w:type="spellStart"/>
            <w:r w:rsidRPr="00F4000D">
              <w:rPr>
                <w:rFonts w:asciiTheme="majorHAnsi" w:hAnsiTheme="majorHAnsi" w:cstheme="majorHAnsi"/>
                <w:color w:val="000000" w:themeColor="text1"/>
                <w:sz w:val="24"/>
                <w:szCs w:val="24"/>
                <w:lang w:val="pl-PL"/>
              </w:rPr>
              <w:t>powerbanki</w:t>
            </w:r>
            <w:proofErr w:type="spellEnd"/>
            <w:r w:rsidRPr="00F4000D">
              <w:rPr>
                <w:rFonts w:asciiTheme="majorHAnsi" w:hAnsiTheme="majorHAnsi" w:cstheme="majorHAnsi"/>
                <w:color w:val="000000" w:themeColor="text1"/>
                <w:sz w:val="24"/>
                <w:szCs w:val="24"/>
                <w:lang w:val="pl-PL"/>
              </w:rPr>
              <w:t xml:space="preserve">), ładowarki, podkładki robocze, szablony oraz pakiet materiałów dydaktycznych wspierających nauczyciela w prowadzeniu zajęć na różnych etapach edukacyjnych. Całość </w:t>
            </w:r>
            <w:r w:rsidRPr="00F4000D">
              <w:rPr>
                <w:rFonts w:asciiTheme="majorHAnsi" w:hAnsiTheme="majorHAnsi" w:cstheme="majorHAnsi"/>
                <w:color w:val="000000" w:themeColor="text1"/>
                <w:sz w:val="24"/>
                <w:szCs w:val="24"/>
                <w:lang w:val="pl-PL"/>
              </w:rPr>
              <w:lastRenderedPageBreak/>
              <w:t xml:space="preserve">powinna być umieszczona w przenośnym opakowaniu ułatwiającym transport i przechowywanie. Produkt równoważny musi zapewniać identyczne funkcjonalności dydaktyczne oraz pełną kompatybilność z </w:t>
            </w:r>
            <w:proofErr w:type="spellStart"/>
            <w:r w:rsidRPr="00F4000D">
              <w:rPr>
                <w:rFonts w:asciiTheme="majorHAnsi" w:hAnsiTheme="majorHAnsi" w:cstheme="majorHAnsi"/>
                <w:color w:val="000000" w:themeColor="text1"/>
                <w:sz w:val="24"/>
                <w:szCs w:val="24"/>
                <w:lang w:val="pl-PL"/>
              </w:rPr>
              <w:t>filamentami</w:t>
            </w:r>
            <w:proofErr w:type="spellEnd"/>
            <w:r w:rsidRPr="00F4000D">
              <w:rPr>
                <w:rFonts w:asciiTheme="majorHAnsi" w:hAnsiTheme="majorHAnsi" w:cstheme="majorHAnsi"/>
                <w:color w:val="000000" w:themeColor="text1"/>
                <w:sz w:val="24"/>
                <w:szCs w:val="24"/>
                <w:lang w:val="pl-PL"/>
              </w:rPr>
              <w:t xml:space="preserve"> edukacyjnymi 1,75 mm.</w:t>
            </w:r>
          </w:p>
        </w:tc>
      </w:tr>
      <w:tr w:rsidR="0055541E" w:rsidRPr="00F4000D" w14:paraId="3A2CA5A3" w14:textId="77777777" w:rsidTr="00F4000D">
        <w:trPr>
          <w:jc w:val="center"/>
        </w:trPr>
        <w:tc>
          <w:tcPr>
            <w:tcW w:w="780" w:type="dxa"/>
          </w:tcPr>
          <w:p w14:paraId="0473ABB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93</w:t>
            </w:r>
          </w:p>
        </w:tc>
        <w:tc>
          <w:tcPr>
            <w:tcW w:w="3115" w:type="dxa"/>
          </w:tcPr>
          <w:p w14:paraId="6490340B" w14:textId="77777777" w:rsidR="00372C08" w:rsidRPr="00F4000D" w:rsidRDefault="000B756A" w:rsidP="00982048">
            <w:pPr>
              <w:rPr>
                <w:rFonts w:asciiTheme="majorHAnsi" w:hAnsiTheme="majorHAnsi" w:cstheme="majorHAnsi"/>
                <w:color w:val="000000" w:themeColor="text1"/>
                <w:sz w:val="24"/>
                <w:szCs w:val="24"/>
                <w:lang w:val="pl-PL"/>
              </w:rPr>
            </w:pPr>
            <w:proofErr w:type="spellStart"/>
            <w:r w:rsidRPr="00F4000D">
              <w:rPr>
                <w:rFonts w:asciiTheme="majorHAnsi" w:hAnsiTheme="majorHAnsi" w:cstheme="majorHAnsi"/>
                <w:color w:val="000000" w:themeColor="text1"/>
                <w:sz w:val="24"/>
                <w:szCs w:val="24"/>
                <w:lang w:val="pl-PL"/>
              </w:rPr>
              <w:t>Photon</w:t>
            </w:r>
            <w:proofErr w:type="spellEnd"/>
            <w:r w:rsidRPr="00F4000D">
              <w:rPr>
                <w:rFonts w:asciiTheme="majorHAnsi" w:hAnsiTheme="majorHAnsi" w:cstheme="majorHAnsi"/>
                <w:color w:val="000000" w:themeColor="text1"/>
                <w:sz w:val="24"/>
                <w:szCs w:val="24"/>
                <w:lang w:val="pl-PL"/>
              </w:rPr>
              <w:t xml:space="preserve"> Moduł Robotyka i Kodowanie lub równoważne</w:t>
            </w:r>
          </w:p>
        </w:tc>
        <w:tc>
          <w:tcPr>
            <w:tcW w:w="888" w:type="dxa"/>
          </w:tcPr>
          <w:p w14:paraId="0B2987A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4873" w:type="dxa"/>
          </w:tcPr>
          <w:p w14:paraId="5345DC98"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dydaktyczny przeznaczony do nauki podstaw robotyki, programowania i myślenia algorytmicznego w pracy z robotem edukacyjnym. Moduł powinien zawierać materiały umożliwiające prowadzenie zajęć z zakresu kodowania na różnych etapach edukacyjnych, w tym zestaw scenariuszy lekcji, kart pracy, zadań praktycznych oraz instrukcji dla nauczyciela. Materiały muszą wspierać rozwój kompetencji cyfrowych, logicznego myślenia, planowania działań, rozwiązywania problemów oraz kreatywnej pracy z robotem. Zestaw powinien umożliwiać realizację ćwiczeń polegających na tworzeniu sekwencji, instrukcji, prostych algorytmów i programów sterujących robotem, a także wykorzystywać robotykę w integracji z innymi obszarami edukacji.</w:t>
            </w:r>
          </w:p>
        </w:tc>
      </w:tr>
    </w:tbl>
    <w:p w14:paraId="5DDB1FB3" w14:textId="77777777" w:rsidR="00372C08" w:rsidRPr="00F4000D" w:rsidRDefault="00372C08" w:rsidP="00F4000D">
      <w:pPr>
        <w:jc w:val="both"/>
        <w:rPr>
          <w:rFonts w:asciiTheme="majorHAnsi" w:hAnsiTheme="majorHAnsi" w:cstheme="majorHAnsi"/>
          <w:color w:val="000000" w:themeColor="text1"/>
          <w:sz w:val="24"/>
          <w:szCs w:val="24"/>
          <w:lang w:val="pl-PL"/>
        </w:rPr>
      </w:pPr>
    </w:p>
    <w:p w14:paraId="3A5C0CCA"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br w:type="page"/>
      </w:r>
    </w:p>
    <w:p w14:paraId="78637766" w14:textId="77777777" w:rsidR="00372C08" w:rsidRPr="00F4000D" w:rsidRDefault="000B756A" w:rsidP="00F4000D">
      <w:pPr>
        <w:pStyle w:val="Nagwek2"/>
        <w:jc w:val="both"/>
        <w:rPr>
          <w:rFonts w:cstheme="majorHAnsi"/>
          <w:b w:val="0"/>
          <w:bCs w:val="0"/>
          <w:color w:val="000000" w:themeColor="text1"/>
          <w:sz w:val="24"/>
          <w:szCs w:val="24"/>
          <w:lang w:val="pl-PL"/>
        </w:rPr>
      </w:pPr>
      <w:r w:rsidRPr="00F4000D">
        <w:rPr>
          <w:rFonts w:cstheme="majorHAnsi"/>
          <w:b w:val="0"/>
          <w:bCs w:val="0"/>
          <w:color w:val="000000" w:themeColor="text1"/>
          <w:sz w:val="24"/>
          <w:szCs w:val="24"/>
          <w:lang w:val="pl-PL"/>
        </w:rPr>
        <w:lastRenderedPageBreak/>
        <w:t>Część 2 programy</w:t>
      </w:r>
    </w:p>
    <w:tbl>
      <w:tblPr>
        <w:tblStyle w:val="Tabela-Siatka"/>
        <w:tblW w:w="0" w:type="auto"/>
        <w:jc w:val="center"/>
        <w:tblLook w:val="04A0" w:firstRow="1" w:lastRow="0" w:firstColumn="1" w:lastColumn="0" w:noHBand="0" w:noVBand="1"/>
      </w:tblPr>
      <w:tblGrid>
        <w:gridCol w:w="848"/>
        <w:gridCol w:w="2754"/>
        <w:gridCol w:w="902"/>
        <w:gridCol w:w="5395"/>
      </w:tblGrid>
      <w:tr w:rsidR="0055541E" w:rsidRPr="00F4000D" w14:paraId="309DE0D3" w14:textId="77777777" w:rsidTr="005A0213">
        <w:trPr>
          <w:jc w:val="center"/>
        </w:trPr>
        <w:tc>
          <w:tcPr>
            <w:tcW w:w="848" w:type="dxa"/>
          </w:tcPr>
          <w:p w14:paraId="1AE871FA"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L.p.</w:t>
            </w:r>
          </w:p>
        </w:tc>
        <w:tc>
          <w:tcPr>
            <w:tcW w:w="2754" w:type="dxa"/>
          </w:tcPr>
          <w:p w14:paraId="6269494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Nazwa produktu</w:t>
            </w:r>
          </w:p>
        </w:tc>
        <w:tc>
          <w:tcPr>
            <w:tcW w:w="902" w:type="dxa"/>
          </w:tcPr>
          <w:p w14:paraId="7C2D113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Ilość</w:t>
            </w:r>
          </w:p>
        </w:tc>
        <w:tc>
          <w:tcPr>
            <w:tcW w:w="5395" w:type="dxa"/>
          </w:tcPr>
          <w:p w14:paraId="67FB594E"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Opis / minimalne wymagania</w:t>
            </w:r>
          </w:p>
        </w:tc>
      </w:tr>
      <w:tr w:rsidR="0055541E" w:rsidRPr="00F4000D" w14:paraId="25C85DAF" w14:textId="77777777" w:rsidTr="005A0213">
        <w:trPr>
          <w:jc w:val="center"/>
        </w:trPr>
        <w:tc>
          <w:tcPr>
            <w:tcW w:w="848" w:type="dxa"/>
          </w:tcPr>
          <w:p w14:paraId="33C6D02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2754" w:type="dxa"/>
          </w:tcPr>
          <w:p w14:paraId="6D2D19CC" w14:textId="77777777" w:rsidR="00372C08" w:rsidRPr="00F4000D" w:rsidRDefault="000B756A" w:rsidP="00982048">
            <w:pPr>
              <w:rPr>
                <w:rFonts w:asciiTheme="majorHAnsi" w:hAnsiTheme="majorHAnsi" w:cstheme="majorHAnsi"/>
                <w:color w:val="000000" w:themeColor="text1"/>
                <w:sz w:val="24"/>
                <w:szCs w:val="24"/>
                <w:lang w:val="pl-PL"/>
              </w:rPr>
            </w:pPr>
            <w:proofErr w:type="spellStart"/>
            <w:r w:rsidRPr="00F4000D">
              <w:rPr>
                <w:rFonts w:asciiTheme="majorHAnsi" w:hAnsiTheme="majorHAnsi" w:cstheme="majorHAnsi"/>
                <w:color w:val="000000" w:themeColor="text1"/>
                <w:sz w:val="24"/>
                <w:szCs w:val="24"/>
                <w:lang w:val="pl-PL"/>
              </w:rPr>
              <w:t>Matświat</w:t>
            </w:r>
            <w:proofErr w:type="spellEnd"/>
            <w:r w:rsidRPr="00F4000D">
              <w:rPr>
                <w:rFonts w:asciiTheme="majorHAnsi" w:hAnsiTheme="majorHAnsi" w:cstheme="majorHAnsi"/>
                <w:color w:val="000000" w:themeColor="text1"/>
                <w:sz w:val="24"/>
                <w:szCs w:val="24"/>
                <w:lang w:val="pl-PL"/>
              </w:rPr>
              <w:t xml:space="preserve"> - Terapia pedagogiczna PRO lub równoważny</w:t>
            </w:r>
          </w:p>
        </w:tc>
        <w:tc>
          <w:tcPr>
            <w:tcW w:w="902" w:type="dxa"/>
          </w:tcPr>
          <w:p w14:paraId="7643A3F0"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395" w:type="dxa"/>
          </w:tcPr>
          <w:p w14:paraId="1BF51F8E"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Multimedialny program terapeutyczno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edukacyjny do wspierania nabywania i doskonalenia umiejętności matematycznych u uczniów szkoły podstawowej, obejmujący zestaw ćwiczeń diagnostycznych i treningowych o zróżnicowanym poziomie trudności. Oprogramowanie musi umożliwiać pracę na urządzeniach stacjonarnych oraz współpracę z monitorami/tablicami interaktywnymi, działać w trybie offline i zapewniać bezterminowe korzystanie w placówce (licencja instytucjonalna). Program powinien zawierać moduły pozwalające na indywidualizację treningu (dobór zadań do poziomu ucznia), generowanie raportów/druk materiałów oraz wsparcie metodyczne. Produkty równoważne: inne programy o analogicznej funkcjonalności terapeutyczno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edukacyjnej, zapewniające tożsame efekty dydaktyczne.</w:t>
            </w:r>
          </w:p>
        </w:tc>
      </w:tr>
      <w:tr w:rsidR="0055541E" w:rsidRPr="00F4000D" w14:paraId="7CC37455" w14:textId="77777777" w:rsidTr="005A0213">
        <w:trPr>
          <w:jc w:val="center"/>
        </w:trPr>
        <w:tc>
          <w:tcPr>
            <w:tcW w:w="848" w:type="dxa"/>
          </w:tcPr>
          <w:p w14:paraId="12BEC6E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2754" w:type="dxa"/>
          </w:tcPr>
          <w:p w14:paraId="3D0B202F" w14:textId="77777777" w:rsidR="00F4000D" w:rsidRDefault="000B756A" w:rsidP="00F4000D">
            <w:pPr>
              <w:jc w:val="both"/>
              <w:rPr>
                <w:rFonts w:asciiTheme="majorHAnsi" w:hAnsiTheme="majorHAnsi" w:cstheme="majorHAnsi"/>
                <w:color w:val="000000" w:themeColor="text1"/>
                <w:sz w:val="24"/>
                <w:szCs w:val="24"/>
                <w:lang w:val="pl-PL"/>
              </w:rPr>
            </w:pPr>
            <w:proofErr w:type="spellStart"/>
            <w:r w:rsidRPr="00F4000D">
              <w:rPr>
                <w:rFonts w:asciiTheme="majorHAnsi" w:hAnsiTheme="majorHAnsi" w:cstheme="majorHAnsi"/>
                <w:color w:val="000000" w:themeColor="text1"/>
                <w:sz w:val="24"/>
                <w:szCs w:val="24"/>
                <w:lang w:val="pl-PL"/>
              </w:rPr>
              <w:t>Eduterapeutica</w:t>
            </w:r>
            <w:proofErr w:type="spellEnd"/>
            <w:r w:rsidRPr="00F4000D">
              <w:rPr>
                <w:rFonts w:asciiTheme="majorHAnsi" w:hAnsiTheme="majorHAnsi" w:cstheme="majorHAnsi"/>
                <w:color w:val="000000" w:themeColor="text1"/>
                <w:sz w:val="24"/>
                <w:szCs w:val="24"/>
                <w:lang w:val="pl-PL"/>
              </w:rPr>
              <w:t xml:space="preserve"> Lux</w:t>
            </w:r>
          </w:p>
          <w:p w14:paraId="3BE1A54C" w14:textId="6EDE7CE5"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Kompetencje emocjonalno-społeczne. Szkoła lub równoważny</w:t>
            </w:r>
          </w:p>
        </w:tc>
        <w:tc>
          <w:tcPr>
            <w:tcW w:w="902" w:type="dxa"/>
          </w:tcPr>
          <w:p w14:paraId="5A8F277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395" w:type="dxa"/>
          </w:tcPr>
          <w:p w14:paraId="40EA6F7A"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Pakiet ćwiczeń multimedialnych i materiałów drukowalnych wspierający rozwój kompetencji emocjonalno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społecznych dzieci w młodszym wieku szkolnym. Zawartość powinna obejmować: interaktywne ćwiczenia, karty pracy i scenariusze zajęć służące rozpoznawaniu/nazywaniu emocji, samoregulacji, komunikacji i współpracy. Licencja instytucjonalna powinna umożliwiać instalację/korzystanie na wielu urządzeniach w placówce oraz druk materiałów do użytku dydaktycznego. Rozwiązanie równoważne: inny pakiet łączący multimedia i materiały metodyczne o analogicznej funkcji i zakresie.</w:t>
            </w:r>
          </w:p>
        </w:tc>
      </w:tr>
      <w:tr w:rsidR="0055541E" w:rsidRPr="00F4000D" w14:paraId="48656216" w14:textId="77777777" w:rsidTr="005A0213">
        <w:trPr>
          <w:jc w:val="center"/>
        </w:trPr>
        <w:tc>
          <w:tcPr>
            <w:tcW w:w="848" w:type="dxa"/>
          </w:tcPr>
          <w:p w14:paraId="7152D8FC"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w:t>
            </w:r>
          </w:p>
        </w:tc>
        <w:tc>
          <w:tcPr>
            <w:tcW w:w="2754" w:type="dxa"/>
          </w:tcPr>
          <w:p w14:paraId="125B4259" w14:textId="77777777" w:rsidR="00372C08" w:rsidRPr="00F4000D" w:rsidRDefault="000B756A" w:rsidP="00982048">
            <w:pPr>
              <w:rPr>
                <w:rFonts w:asciiTheme="majorHAnsi" w:hAnsiTheme="majorHAnsi" w:cstheme="majorHAnsi"/>
                <w:color w:val="000000" w:themeColor="text1"/>
                <w:sz w:val="24"/>
                <w:szCs w:val="24"/>
                <w:lang w:val="pl-PL"/>
              </w:rPr>
            </w:pPr>
            <w:proofErr w:type="spellStart"/>
            <w:r w:rsidRPr="00F4000D">
              <w:rPr>
                <w:rFonts w:asciiTheme="majorHAnsi" w:hAnsiTheme="majorHAnsi" w:cstheme="majorHAnsi"/>
                <w:color w:val="000000" w:themeColor="text1"/>
                <w:sz w:val="24"/>
                <w:szCs w:val="24"/>
                <w:lang w:val="pl-PL"/>
              </w:rPr>
              <w:t>GoEdu</w:t>
            </w:r>
            <w:proofErr w:type="spellEnd"/>
            <w:r w:rsidRPr="00F4000D">
              <w:rPr>
                <w:rFonts w:asciiTheme="majorHAnsi" w:hAnsiTheme="majorHAnsi" w:cstheme="majorHAnsi"/>
                <w:color w:val="000000" w:themeColor="text1"/>
                <w:sz w:val="24"/>
                <w:szCs w:val="24"/>
                <w:lang w:val="pl-PL"/>
              </w:rPr>
              <w:t xml:space="preserve"> Współpracuję i pomagam lub równoważny</w:t>
            </w:r>
          </w:p>
        </w:tc>
        <w:tc>
          <w:tcPr>
            <w:tcW w:w="902" w:type="dxa"/>
          </w:tcPr>
          <w:p w14:paraId="520CFB1E"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395" w:type="dxa"/>
          </w:tcPr>
          <w:p w14:paraId="570A7CDF"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dydaktyczny rozwijający umiejętności społeczne i współpracy w klasach I–III, łączący część multimedialną (ekrany ćwiczeń) z materiałami drukowalnymi i elementami do gier/aktywności ruchowych. Zestaw powinien umożliwiać pracę </w:t>
            </w:r>
            <w:proofErr w:type="spellStart"/>
            <w:r w:rsidRPr="00F4000D">
              <w:rPr>
                <w:rFonts w:asciiTheme="majorHAnsi" w:hAnsiTheme="majorHAnsi" w:cstheme="majorHAnsi"/>
                <w:color w:val="000000" w:themeColor="text1"/>
                <w:sz w:val="24"/>
                <w:szCs w:val="24"/>
                <w:lang w:val="pl-PL"/>
              </w:rPr>
              <w:t>całoklasową</w:t>
            </w:r>
            <w:proofErr w:type="spellEnd"/>
            <w:r w:rsidRPr="00F4000D">
              <w:rPr>
                <w:rFonts w:asciiTheme="majorHAnsi" w:hAnsiTheme="majorHAnsi" w:cstheme="majorHAnsi"/>
                <w:color w:val="000000" w:themeColor="text1"/>
                <w:sz w:val="24"/>
                <w:szCs w:val="24"/>
                <w:lang w:val="pl-PL"/>
              </w:rPr>
              <w:t xml:space="preserve">, w małych grupach i indywidualnie, w sali i w terenie, oraz zawierać scenariusze zajęć. Licencja dla placówki (bezterminowa), z prawem instalacji na wielu stanowiskach i drukiem materiałów. Równoważność: inne rozwiązania o </w:t>
            </w:r>
            <w:r w:rsidRPr="00F4000D">
              <w:rPr>
                <w:rFonts w:asciiTheme="majorHAnsi" w:hAnsiTheme="majorHAnsi" w:cstheme="majorHAnsi"/>
                <w:color w:val="000000" w:themeColor="text1"/>
                <w:sz w:val="24"/>
                <w:szCs w:val="24"/>
                <w:lang w:val="pl-PL"/>
              </w:rPr>
              <w:lastRenderedPageBreak/>
              <w:t>tożsamej funkcji i strukturze (multimedia + materiały + pomoce do aktywności).</w:t>
            </w:r>
          </w:p>
        </w:tc>
      </w:tr>
      <w:tr w:rsidR="0055541E" w:rsidRPr="00F4000D" w14:paraId="12DA6D33" w14:textId="77777777" w:rsidTr="005A0213">
        <w:trPr>
          <w:jc w:val="center"/>
        </w:trPr>
        <w:tc>
          <w:tcPr>
            <w:tcW w:w="848" w:type="dxa"/>
          </w:tcPr>
          <w:p w14:paraId="7470AF1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4</w:t>
            </w:r>
          </w:p>
        </w:tc>
        <w:tc>
          <w:tcPr>
            <w:tcW w:w="2754" w:type="dxa"/>
          </w:tcPr>
          <w:p w14:paraId="21FB1CE5"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Pakiet </w:t>
            </w:r>
            <w:proofErr w:type="spellStart"/>
            <w:r w:rsidRPr="00F4000D">
              <w:rPr>
                <w:rFonts w:asciiTheme="majorHAnsi" w:hAnsiTheme="majorHAnsi" w:cstheme="majorHAnsi"/>
                <w:color w:val="000000" w:themeColor="text1"/>
                <w:sz w:val="24"/>
                <w:szCs w:val="24"/>
                <w:lang w:val="pl-PL"/>
              </w:rPr>
              <w:t>Didakta</w:t>
            </w:r>
            <w:proofErr w:type="spellEnd"/>
            <w:r w:rsidRPr="00F4000D">
              <w:rPr>
                <w:rFonts w:asciiTheme="majorHAnsi" w:hAnsiTheme="majorHAnsi" w:cstheme="majorHAnsi"/>
                <w:color w:val="000000" w:themeColor="text1"/>
                <w:sz w:val="24"/>
                <w:szCs w:val="24"/>
                <w:lang w:val="pl-PL"/>
              </w:rPr>
              <w:t xml:space="preserve"> dla klas IV- VIII. Matematyka - multimedialny program edukacyjny dla szkół podstawowych lub równoważny</w:t>
            </w:r>
          </w:p>
        </w:tc>
        <w:tc>
          <w:tcPr>
            <w:tcW w:w="902" w:type="dxa"/>
          </w:tcPr>
          <w:p w14:paraId="39902E9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395" w:type="dxa"/>
          </w:tcPr>
          <w:p w14:paraId="6B576569"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Multimedialny pakiet edukacyjny do matematyki dla szkoły podstawowej, obejmujący moduły rachunkowe i geometryczne, z możliwością instalacji i pracy na co najmniej 20 stanowiskach w ramach jednej placówki. Oprogramowanie powinno udostępniać interaktywne zadania o zróżnicowanym poziomie trudności, tryby pracy z tablicą/monitorem interaktywnym oraz funkcje drukowania ćwiczeń/testów. Wymagana bezterminowa licencja instytucjonalna. Produkty równoważne: inne pakiety spełniające ww. funkcjonalność i zakres tematyczny</w:t>
            </w:r>
          </w:p>
        </w:tc>
      </w:tr>
      <w:tr w:rsidR="0055541E" w:rsidRPr="00F4000D" w14:paraId="1B32DDF5" w14:textId="77777777" w:rsidTr="005A0213">
        <w:trPr>
          <w:jc w:val="center"/>
        </w:trPr>
        <w:tc>
          <w:tcPr>
            <w:tcW w:w="848" w:type="dxa"/>
          </w:tcPr>
          <w:p w14:paraId="609C015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5</w:t>
            </w:r>
          </w:p>
        </w:tc>
        <w:tc>
          <w:tcPr>
            <w:tcW w:w="2754" w:type="dxa"/>
          </w:tcPr>
          <w:p w14:paraId="5BEC28D7" w14:textId="77777777" w:rsidR="00372C08" w:rsidRPr="00F4000D" w:rsidRDefault="000B756A" w:rsidP="00982048">
            <w:pPr>
              <w:rPr>
                <w:rFonts w:asciiTheme="majorHAnsi" w:hAnsiTheme="majorHAnsi" w:cstheme="majorHAnsi"/>
                <w:color w:val="000000" w:themeColor="text1"/>
                <w:sz w:val="24"/>
                <w:szCs w:val="24"/>
                <w:lang w:val="pl-PL"/>
              </w:rPr>
            </w:pPr>
            <w:proofErr w:type="spellStart"/>
            <w:r w:rsidRPr="00F4000D">
              <w:rPr>
                <w:rFonts w:asciiTheme="majorHAnsi" w:hAnsiTheme="majorHAnsi" w:cstheme="majorHAnsi"/>
                <w:color w:val="000000" w:themeColor="text1"/>
                <w:sz w:val="24"/>
                <w:szCs w:val="24"/>
                <w:lang w:val="pl-PL"/>
              </w:rPr>
              <w:t>Eduterapeutica</w:t>
            </w:r>
            <w:proofErr w:type="spellEnd"/>
            <w:r w:rsidRPr="00F4000D">
              <w:rPr>
                <w:rFonts w:asciiTheme="majorHAnsi" w:hAnsiTheme="majorHAnsi" w:cstheme="majorHAnsi"/>
                <w:color w:val="000000" w:themeColor="text1"/>
                <w:sz w:val="24"/>
                <w:szCs w:val="24"/>
                <w:lang w:val="pl-PL"/>
              </w:rPr>
              <w:t xml:space="preserve"> Umiem liczyć. Zestaw ćwiczeń dla klas I-III lub równoważny</w:t>
            </w:r>
          </w:p>
        </w:tc>
        <w:tc>
          <w:tcPr>
            <w:tcW w:w="902" w:type="dxa"/>
          </w:tcPr>
          <w:p w14:paraId="0DE7AFD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395" w:type="dxa"/>
          </w:tcPr>
          <w:p w14:paraId="0C5104D4"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ćwiczeń (multimedia + materiały drukowalne) wspierający rozwój kompetencji matematycznych w edukacji wczesnoszkolnej. Materiały powinny obejmować interaktywne zadania klasowe/indywidualne, gry/aktywności oraz karty pracy do utrwalania. Zakres ma wspierać m.in. analizę/syntezę wzrokową, orientację przestrzenną, rozpoznawanie cyfr/znaków, działania i myślenie operacyjne. Licencja: instytucjonalna, bezterminowa. Produkt równoważny: inne zestawy łączące multimedia i karty o analogicznym przeznaczeniu</w:t>
            </w:r>
          </w:p>
        </w:tc>
      </w:tr>
      <w:tr w:rsidR="0055541E" w:rsidRPr="00F4000D" w14:paraId="4F52B9E1" w14:textId="77777777" w:rsidTr="005A0213">
        <w:trPr>
          <w:jc w:val="center"/>
        </w:trPr>
        <w:tc>
          <w:tcPr>
            <w:tcW w:w="848" w:type="dxa"/>
          </w:tcPr>
          <w:p w14:paraId="0979C88A"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6</w:t>
            </w:r>
          </w:p>
        </w:tc>
        <w:tc>
          <w:tcPr>
            <w:tcW w:w="2754" w:type="dxa"/>
          </w:tcPr>
          <w:p w14:paraId="200F0304"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Multimedialne Pracownie Przedmiotowe. Matematyka (klasy IV-VIII) lub równoważny</w:t>
            </w:r>
          </w:p>
        </w:tc>
        <w:tc>
          <w:tcPr>
            <w:tcW w:w="902" w:type="dxa"/>
          </w:tcPr>
          <w:p w14:paraId="7AF382B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395" w:type="dxa"/>
          </w:tcPr>
          <w:p w14:paraId="6AEADDFA"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Zasób multimedialny do matematyki dla klas IV–VIII, umożliwiający realizację lekcji, powtórek i testów z wykorzystaniem ćwiczeń interaktywnych, gier dydaktycznych, filmów i symulacji. Wymagane: tryb pracy online oraz opcja pracy offline po pobraniu treści; dostęp dla kilku prowadzących oraz możliwość instalacji na wielu urządzeniach w szkole. Równoważność: inne zasoby spełniające analogiczne funkcje (lekcje „powtórz/sprawdź/test”, gry, raportowanie postępów</w:t>
            </w:r>
          </w:p>
        </w:tc>
      </w:tr>
      <w:tr w:rsidR="0055541E" w:rsidRPr="00F4000D" w14:paraId="54D30945" w14:textId="77777777" w:rsidTr="005A0213">
        <w:trPr>
          <w:jc w:val="center"/>
        </w:trPr>
        <w:tc>
          <w:tcPr>
            <w:tcW w:w="848" w:type="dxa"/>
          </w:tcPr>
          <w:p w14:paraId="0DCB5F13" w14:textId="4D3D215E" w:rsidR="00372C08" w:rsidRPr="00F4000D" w:rsidRDefault="00134AA1" w:rsidP="00F4000D">
            <w:pPr>
              <w:jc w:val="both"/>
              <w:rPr>
                <w:rFonts w:asciiTheme="majorHAnsi" w:hAnsiTheme="majorHAnsi" w:cstheme="majorHAnsi"/>
                <w:color w:val="000000" w:themeColor="text1"/>
                <w:sz w:val="24"/>
                <w:szCs w:val="24"/>
                <w:lang w:val="pl-PL"/>
              </w:rPr>
            </w:pPr>
            <w:r>
              <w:rPr>
                <w:rFonts w:asciiTheme="majorHAnsi" w:hAnsiTheme="majorHAnsi" w:cstheme="majorHAnsi"/>
                <w:color w:val="000000" w:themeColor="text1"/>
                <w:sz w:val="24"/>
                <w:szCs w:val="24"/>
                <w:lang w:val="pl-PL"/>
              </w:rPr>
              <w:t>7</w:t>
            </w:r>
          </w:p>
        </w:tc>
        <w:tc>
          <w:tcPr>
            <w:tcW w:w="2754" w:type="dxa"/>
          </w:tcPr>
          <w:p w14:paraId="4E0B245C"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Moc emocji Pro Poziom 2 (program) lub równoważny</w:t>
            </w:r>
          </w:p>
        </w:tc>
        <w:tc>
          <w:tcPr>
            <w:tcW w:w="902" w:type="dxa"/>
          </w:tcPr>
          <w:p w14:paraId="1C7EA9B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395" w:type="dxa"/>
          </w:tcPr>
          <w:p w14:paraId="42410E6B"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Specjalistyczny program do zajęć wychowawczych/socjoterapeutycznych w kl. 4–8. Zakres: relacje rówieśnicze/rodzinne, emocje i wyzwania okresu dojrzewania, profilaktyka (cyberprzemoc itp.), wsparcie w pracy z uczniami wymagającymi pomocy psych</w:t>
            </w:r>
            <w:r w:rsidRPr="00F4000D">
              <w:rPr>
                <w:rFonts w:ascii="Cambria Math" w:hAnsi="Cambria Math" w:cs="Cambria Math"/>
                <w:color w:val="000000" w:themeColor="text1"/>
                <w:sz w:val="24"/>
                <w:szCs w:val="24"/>
                <w:lang w:val="pl-PL"/>
              </w:rPr>
              <w:t>‑</w:t>
            </w:r>
            <w:proofErr w:type="spellStart"/>
            <w:r w:rsidRPr="00F4000D">
              <w:rPr>
                <w:rFonts w:asciiTheme="majorHAnsi" w:hAnsiTheme="majorHAnsi" w:cstheme="majorHAnsi"/>
                <w:color w:val="000000" w:themeColor="text1"/>
                <w:sz w:val="24"/>
                <w:szCs w:val="24"/>
                <w:lang w:val="pl-PL"/>
              </w:rPr>
              <w:t>ped</w:t>
            </w:r>
            <w:proofErr w:type="spellEnd"/>
            <w:r w:rsidRPr="00F4000D">
              <w:rPr>
                <w:rFonts w:asciiTheme="majorHAnsi" w:hAnsiTheme="majorHAnsi" w:cstheme="majorHAnsi"/>
                <w:color w:val="000000" w:themeColor="text1"/>
                <w:sz w:val="24"/>
                <w:szCs w:val="24"/>
                <w:lang w:val="pl-PL"/>
              </w:rPr>
              <w:t xml:space="preserve">. Zawiera multimedialne lekcje/ćwiczenia, materiały dla prowadzącego; bezterminowa licencja (np. 3 stanowiska), zgodność z podstawą programową; współpraca z monitorami/tablicami, praca offline. </w:t>
            </w:r>
            <w:r w:rsidRPr="00F4000D">
              <w:rPr>
                <w:rFonts w:asciiTheme="majorHAnsi" w:hAnsiTheme="majorHAnsi" w:cstheme="majorHAnsi"/>
                <w:color w:val="000000" w:themeColor="text1"/>
                <w:sz w:val="24"/>
                <w:szCs w:val="24"/>
                <w:lang w:val="pl-PL"/>
              </w:rPr>
              <w:lastRenderedPageBreak/>
              <w:t>Produkt równoważny – o zbliżonej tematyce i strukturze.</w:t>
            </w:r>
          </w:p>
        </w:tc>
      </w:tr>
      <w:tr w:rsidR="0055541E" w:rsidRPr="00F4000D" w14:paraId="154DB6D3" w14:textId="77777777" w:rsidTr="005A0213">
        <w:trPr>
          <w:jc w:val="center"/>
        </w:trPr>
        <w:tc>
          <w:tcPr>
            <w:tcW w:w="848" w:type="dxa"/>
          </w:tcPr>
          <w:p w14:paraId="3F177335" w14:textId="2D50575E" w:rsidR="00372C08" w:rsidRPr="00F4000D" w:rsidRDefault="00F34201" w:rsidP="00F4000D">
            <w:pPr>
              <w:jc w:val="both"/>
              <w:rPr>
                <w:rFonts w:asciiTheme="majorHAnsi" w:hAnsiTheme="majorHAnsi" w:cstheme="majorHAnsi"/>
                <w:color w:val="000000" w:themeColor="text1"/>
                <w:sz w:val="24"/>
                <w:szCs w:val="24"/>
                <w:lang w:val="pl-PL"/>
              </w:rPr>
            </w:pPr>
            <w:r>
              <w:rPr>
                <w:rFonts w:asciiTheme="majorHAnsi" w:hAnsiTheme="majorHAnsi" w:cstheme="majorHAnsi"/>
                <w:color w:val="000000" w:themeColor="text1"/>
                <w:sz w:val="24"/>
                <w:szCs w:val="24"/>
                <w:lang w:val="pl-PL"/>
              </w:rPr>
              <w:lastRenderedPageBreak/>
              <w:t>8</w:t>
            </w:r>
          </w:p>
        </w:tc>
        <w:tc>
          <w:tcPr>
            <w:tcW w:w="2754" w:type="dxa"/>
          </w:tcPr>
          <w:p w14:paraId="01AB9B9D" w14:textId="61C371A6"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w:t>
            </w:r>
            <w:proofErr w:type="spellStart"/>
            <w:r w:rsidRPr="00F4000D">
              <w:rPr>
                <w:rFonts w:asciiTheme="majorHAnsi" w:hAnsiTheme="majorHAnsi" w:cstheme="majorHAnsi"/>
                <w:color w:val="000000" w:themeColor="text1"/>
                <w:sz w:val="24"/>
                <w:szCs w:val="24"/>
                <w:lang w:val="pl-PL"/>
              </w:rPr>
              <w:t>GOSense</w:t>
            </w:r>
            <w:proofErr w:type="spellEnd"/>
            <w:r w:rsidRPr="00F4000D">
              <w:rPr>
                <w:rFonts w:asciiTheme="majorHAnsi" w:hAnsiTheme="majorHAnsi" w:cstheme="majorHAnsi"/>
                <w:color w:val="000000" w:themeColor="text1"/>
                <w:sz w:val="24"/>
                <w:szCs w:val="24"/>
                <w:lang w:val="pl-PL"/>
              </w:rPr>
              <w:t xml:space="preserve"> Dyskalkulia rozwojowa</w:t>
            </w:r>
            <w:r w:rsidR="00982048">
              <w:rPr>
                <w:rFonts w:asciiTheme="majorHAnsi" w:hAnsiTheme="majorHAnsi" w:cstheme="majorHAnsi"/>
                <w:color w:val="000000" w:themeColor="text1"/>
                <w:sz w:val="24"/>
                <w:szCs w:val="24"/>
                <w:lang w:val="pl-PL"/>
              </w:rPr>
              <w:t xml:space="preserve"> lub równoważny</w:t>
            </w:r>
          </w:p>
        </w:tc>
        <w:tc>
          <w:tcPr>
            <w:tcW w:w="902" w:type="dxa"/>
          </w:tcPr>
          <w:p w14:paraId="2F7D83F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395" w:type="dxa"/>
          </w:tcPr>
          <w:p w14:paraId="7D3C81D5"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Pakiet terapeutyczny dla dzieci ok. 6–10 lat z ryzyka dyskalkulii: multimedia + duże i małe elementy materialne (plansze, kształty, kości, sznurki, kamienie itp.), karty pracy, scenariusze. Ćwiczenia dla funkcji wzrokowych, orientacji w przestrzeni, myślenia matematycznego, uwagi/samokontroli oraz motoryki/</w:t>
            </w:r>
            <w:proofErr w:type="spellStart"/>
            <w:r w:rsidRPr="00F4000D">
              <w:rPr>
                <w:rFonts w:asciiTheme="majorHAnsi" w:hAnsiTheme="majorHAnsi" w:cstheme="majorHAnsi"/>
                <w:color w:val="000000" w:themeColor="text1"/>
                <w:sz w:val="24"/>
                <w:szCs w:val="24"/>
                <w:lang w:val="pl-PL"/>
              </w:rPr>
              <w:t>grafomotoryki</w:t>
            </w:r>
            <w:proofErr w:type="spellEnd"/>
            <w:r w:rsidRPr="00F4000D">
              <w:rPr>
                <w:rFonts w:asciiTheme="majorHAnsi" w:hAnsiTheme="majorHAnsi" w:cstheme="majorHAnsi"/>
                <w:color w:val="000000" w:themeColor="text1"/>
                <w:sz w:val="24"/>
                <w:szCs w:val="24"/>
                <w:lang w:val="pl-PL"/>
              </w:rPr>
              <w:t>; licencja bezterminowa dla placówki; praca z urządzeniami dotykowymi/tablicami. Produkt równoważny – o porównywalnej zawartości i funkcjach.</w:t>
            </w:r>
          </w:p>
        </w:tc>
      </w:tr>
      <w:tr w:rsidR="0055541E" w:rsidRPr="00F4000D" w14:paraId="594901FD" w14:textId="77777777" w:rsidTr="005A0213">
        <w:trPr>
          <w:jc w:val="center"/>
        </w:trPr>
        <w:tc>
          <w:tcPr>
            <w:tcW w:w="848" w:type="dxa"/>
          </w:tcPr>
          <w:p w14:paraId="616B8C73" w14:textId="498E389B" w:rsidR="00372C08" w:rsidRPr="00F4000D" w:rsidRDefault="00F34201" w:rsidP="00F4000D">
            <w:pPr>
              <w:jc w:val="both"/>
              <w:rPr>
                <w:rFonts w:asciiTheme="majorHAnsi" w:hAnsiTheme="majorHAnsi" w:cstheme="majorHAnsi"/>
                <w:color w:val="000000" w:themeColor="text1"/>
                <w:sz w:val="24"/>
                <w:szCs w:val="24"/>
                <w:lang w:val="pl-PL"/>
              </w:rPr>
            </w:pPr>
            <w:r>
              <w:rPr>
                <w:rFonts w:asciiTheme="majorHAnsi" w:hAnsiTheme="majorHAnsi" w:cstheme="majorHAnsi"/>
                <w:color w:val="000000" w:themeColor="text1"/>
                <w:sz w:val="24"/>
                <w:szCs w:val="24"/>
                <w:lang w:val="pl-PL"/>
              </w:rPr>
              <w:t>9</w:t>
            </w:r>
          </w:p>
        </w:tc>
        <w:tc>
          <w:tcPr>
            <w:tcW w:w="2754" w:type="dxa"/>
          </w:tcPr>
          <w:p w14:paraId="75F802C6"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w:t>
            </w:r>
            <w:proofErr w:type="spellStart"/>
            <w:r w:rsidRPr="00F4000D">
              <w:rPr>
                <w:rFonts w:asciiTheme="majorHAnsi" w:hAnsiTheme="majorHAnsi" w:cstheme="majorHAnsi"/>
                <w:color w:val="000000" w:themeColor="text1"/>
                <w:sz w:val="24"/>
                <w:szCs w:val="24"/>
                <w:lang w:val="pl-PL"/>
              </w:rPr>
              <w:t>GOSense</w:t>
            </w:r>
            <w:proofErr w:type="spellEnd"/>
            <w:r w:rsidRPr="00F4000D">
              <w:rPr>
                <w:rFonts w:asciiTheme="majorHAnsi" w:hAnsiTheme="majorHAnsi" w:cstheme="majorHAnsi"/>
                <w:color w:val="000000" w:themeColor="text1"/>
                <w:sz w:val="24"/>
                <w:szCs w:val="24"/>
                <w:lang w:val="pl-PL"/>
              </w:rPr>
              <w:t xml:space="preserve"> Koncentracja i samokontrola lub równoważny</w:t>
            </w:r>
          </w:p>
        </w:tc>
        <w:tc>
          <w:tcPr>
            <w:tcW w:w="902" w:type="dxa"/>
          </w:tcPr>
          <w:p w14:paraId="468F4E7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395" w:type="dxa"/>
          </w:tcPr>
          <w:p w14:paraId="02C1A0F8" w14:textId="1E0F4E12"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Pakiet multimedialno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materialny do trenowania koncentracji uwagi i samokontroli (zabawy ruchowe, ćwiczenia z bodźcami wzrokowymi/słuchowymi/</w:t>
            </w:r>
            <w:r w:rsidR="005A0213">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dotykowymi), z scenariuszami oraz kartami do wydruku; dedykowany do pracy indywidualnej, w grupach i w całej klasie. Licencja bezterminowa/</w:t>
            </w:r>
            <w:proofErr w:type="spellStart"/>
            <w:r w:rsidRPr="00F4000D">
              <w:rPr>
                <w:rFonts w:asciiTheme="majorHAnsi" w:hAnsiTheme="majorHAnsi" w:cstheme="majorHAnsi"/>
                <w:color w:val="000000" w:themeColor="text1"/>
                <w:sz w:val="24"/>
                <w:szCs w:val="24"/>
                <w:lang w:val="pl-PL"/>
              </w:rPr>
              <w:t>placówkowa</w:t>
            </w:r>
            <w:proofErr w:type="spellEnd"/>
            <w:r w:rsidRPr="00F4000D">
              <w:rPr>
                <w:rFonts w:asciiTheme="majorHAnsi" w:hAnsiTheme="majorHAnsi" w:cstheme="majorHAnsi"/>
                <w:color w:val="000000" w:themeColor="text1"/>
                <w:sz w:val="24"/>
                <w:szCs w:val="24"/>
                <w:lang w:val="pl-PL"/>
              </w:rPr>
              <w:t>, kompatybilność z tablicami/monitorami. Produkt równoważny – analogiczne funkcje, treści i narzędzia.</w:t>
            </w:r>
          </w:p>
        </w:tc>
      </w:tr>
      <w:tr w:rsidR="0055541E" w:rsidRPr="00F4000D" w14:paraId="2F7786E6" w14:textId="77777777" w:rsidTr="005A0213">
        <w:trPr>
          <w:jc w:val="center"/>
        </w:trPr>
        <w:tc>
          <w:tcPr>
            <w:tcW w:w="848" w:type="dxa"/>
          </w:tcPr>
          <w:p w14:paraId="60DE3415" w14:textId="5AF3D64B"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r w:rsidR="00F34201">
              <w:rPr>
                <w:rFonts w:asciiTheme="majorHAnsi" w:hAnsiTheme="majorHAnsi" w:cstheme="majorHAnsi"/>
                <w:color w:val="000000" w:themeColor="text1"/>
                <w:sz w:val="24"/>
                <w:szCs w:val="24"/>
                <w:lang w:val="pl-PL"/>
              </w:rPr>
              <w:t>0</w:t>
            </w:r>
          </w:p>
        </w:tc>
        <w:tc>
          <w:tcPr>
            <w:tcW w:w="2754" w:type="dxa"/>
          </w:tcPr>
          <w:p w14:paraId="4780ED0F"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w:t>
            </w:r>
            <w:proofErr w:type="spellStart"/>
            <w:r w:rsidRPr="00F4000D">
              <w:rPr>
                <w:rFonts w:asciiTheme="majorHAnsi" w:hAnsiTheme="majorHAnsi" w:cstheme="majorHAnsi"/>
                <w:color w:val="000000" w:themeColor="text1"/>
                <w:sz w:val="24"/>
                <w:szCs w:val="24"/>
                <w:lang w:val="pl-PL"/>
              </w:rPr>
              <w:t>GOSense</w:t>
            </w:r>
            <w:proofErr w:type="spellEnd"/>
            <w:r w:rsidRPr="00F4000D">
              <w:rPr>
                <w:rFonts w:asciiTheme="majorHAnsi" w:hAnsiTheme="majorHAnsi" w:cstheme="majorHAnsi"/>
                <w:color w:val="000000" w:themeColor="text1"/>
                <w:sz w:val="24"/>
                <w:szCs w:val="24"/>
                <w:lang w:val="pl-PL"/>
              </w:rPr>
              <w:t xml:space="preserve"> Myślenie matematyczne lub równoważny</w:t>
            </w:r>
          </w:p>
        </w:tc>
        <w:tc>
          <w:tcPr>
            <w:tcW w:w="902" w:type="dxa"/>
          </w:tcPr>
          <w:p w14:paraId="381333B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395" w:type="dxa"/>
          </w:tcPr>
          <w:p w14:paraId="53B3B019"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ćwiczeń i gier rozwijających myślenie operacyjne (stałość ilości/kształtu, odwracanie procesów, abstrahowanie, uogólnianie, szacowanie, wnioskowanie i prosta strategia). Zawiera multimedia, elementy planszowe, karty pracy do druku oraz scenariusze; praca indywidualna/grupowa, kompatybilny z tablicami/monitorami. Licencja otwarta/</w:t>
            </w:r>
            <w:proofErr w:type="spellStart"/>
            <w:r w:rsidRPr="00F4000D">
              <w:rPr>
                <w:rFonts w:asciiTheme="majorHAnsi" w:hAnsiTheme="majorHAnsi" w:cstheme="majorHAnsi"/>
                <w:color w:val="000000" w:themeColor="text1"/>
                <w:sz w:val="24"/>
                <w:szCs w:val="24"/>
                <w:lang w:val="pl-PL"/>
              </w:rPr>
              <w:t>placówkowa</w:t>
            </w:r>
            <w:proofErr w:type="spellEnd"/>
            <w:r w:rsidRPr="00F4000D">
              <w:rPr>
                <w:rFonts w:asciiTheme="majorHAnsi" w:hAnsiTheme="majorHAnsi" w:cstheme="majorHAnsi"/>
                <w:color w:val="000000" w:themeColor="text1"/>
                <w:sz w:val="24"/>
                <w:szCs w:val="24"/>
                <w:lang w:val="pl-PL"/>
              </w:rPr>
              <w:t>. Produkt równoważny – podobny zakres i formy pracy.</w:t>
            </w:r>
          </w:p>
        </w:tc>
      </w:tr>
      <w:tr w:rsidR="0055541E" w:rsidRPr="00F4000D" w14:paraId="7134D8E2" w14:textId="77777777" w:rsidTr="005A0213">
        <w:trPr>
          <w:jc w:val="center"/>
        </w:trPr>
        <w:tc>
          <w:tcPr>
            <w:tcW w:w="848" w:type="dxa"/>
          </w:tcPr>
          <w:p w14:paraId="177EFAE7" w14:textId="20C2269D"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r w:rsidR="00F34201">
              <w:rPr>
                <w:rFonts w:asciiTheme="majorHAnsi" w:hAnsiTheme="majorHAnsi" w:cstheme="majorHAnsi"/>
                <w:color w:val="000000" w:themeColor="text1"/>
                <w:sz w:val="24"/>
                <w:szCs w:val="24"/>
                <w:lang w:val="pl-PL"/>
              </w:rPr>
              <w:t>1</w:t>
            </w:r>
          </w:p>
        </w:tc>
        <w:tc>
          <w:tcPr>
            <w:tcW w:w="2754" w:type="dxa"/>
          </w:tcPr>
          <w:p w14:paraId="7D6C1F1F" w14:textId="462B066E" w:rsidR="00372C08" w:rsidRPr="00F4000D" w:rsidRDefault="000B756A" w:rsidP="00F4000D">
            <w:pPr>
              <w:jc w:val="both"/>
              <w:rPr>
                <w:rFonts w:asciiTheme="majorHAnsi" w:hAnsiTheme="majorHAnsi" w:cstheme="majorHAnsi"/>
                <w:color w:val="000000" w:themeColor="text1"/>
                <w:sz w:val="24"/>
                <w:szCs w:val="24"/>
                <w:lang w:val="pl-PL"/>
              </w:rPr>
            </w:pPr>
            <w:proofErr w:type="spellStart"/>
            <w:r w:rsidRPr="00F4000D">
              <w:rPr>
                <w:rFonts w:asciiTheme="majorHAnsi" w:hAnsiTheme="majorHAnsi" w:cstheme="majorHAnsi"/>
                <w:color w:val="000000" w:themeColor="text1"/>
                <w:sz w:val="24"/>
                <w:szCs w:val="24"/>
                <w:lang w:val="pl-PL"/>
              </w:rPr>
              <w:t>Matlandia</w:t>
            </w:r>
            <w:proofErr w:type="spellEnd"/>
            <w:r w:rsidRPr="00F4000D">
              <w:rPr>
                <w:rFonts w:asciiTheme="majorHAnsi" w:hAnsiTheme="majorHAnsi" w:cstheme="majorHAnsi"/>
                <w:color w:val="000000" w:themeColor="text1"/>
                <w:sz w:val="24"/>
                <w:szCs w:val="24"/>
                <w:lang w:val="pl-PL"/>
              </w:rPr>
              <w:t xml:space="preserve"> - portal dostęp 2 lata</w:t>
            </w:r>
            <w:r w:rsidR="00982048">
              <w:rPr>
                <w:rFonts w:asciiTheme="majorHAnsi" w:hAnsiTheme="majorHAnsi" w:cstheme="majorHAnsi"/>
                <w:color w:val="000000" w:themeColor="text1"/>
                <w:sz w:val="24"/>
                <w:szCs w:val="24"/>
                <w:lang w:val="pl-PL"/>
              </w:rPr>
              <w:t xml:space="preserve"> lub równoważny</w:t>
            </w:r>
          </w:p>
        </w:tc>
        <w:tc>
          <w:tcPr>
            <w:tcW w:w="902" w:type="dxa"/>
          </w:tcPr>
          <w:p w14:paraId="37F2D2BC"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72</w:t>
            </w:r>
          </w:p>
        </w:tc>
        <w:tc>
          <w:tcPr>
            <w:tcW w:w="5395" w:type="dxa"/>
          </w:tcPr>
          <w:p w14:paraId="798B547B" w14:textId="7245AE6E" w:rsidR="00372C08" w:rsidRPr="00F4000D" w:rsidRDefault="00982048" w:rsidP="00982048">
            <w:pPr>
              <w:rPr>
                <w:rFonts w:asciiTheme="majorHAnsi" w:hAnsiTheme="majorHAnsi" w:cstheme="majorHAnsi"/>
                <w:color w:val="000000" w:themeColor="text1"/>
                <w:sz w:val="24"/>
                <w:szCs w:val="24"/>
                <w:lang w:val="pl-PL"/>
              </w:rPr>
            </w:pPr>
            <w:r>
              <w:rPr>
                <w:rFonts w:asciiTheme="majorHAnsi" w:hAnsiTheme="majorHAnsi" w:cstheme="majorHAnsi"/>
                <w:color w:val="000000" w:themeColor="text1"/>
                <w:sz w:val="24"/>
                <w:szCs w:val="24"/>
                <w:lang w:val="pl-PL"/>
              </w:rPr>
              <w:t>D</w:t>
            </w:r>
            <w:r w:rsidR="000B756A" w:rsidRPr="00F4000D">
              <w:rPr>
                <w:rFonts w:asciiTheme="majorHAnsi" w:hAnsiTheme="majorHAnsi" w:cstheme="majorHAnsi"/>
                <w:color w:val="000000" w:themeColor="text1"/>
                <w:sz w:val="24"/>
                <w:szCs w:val="24"/>
                <w:lang w:val="pl-PL"/>
              </w:rPr>
              <w:t>ostęp on</w:t>
            </w:r>
            <w:r w:rsidR="000B756A" w:rsidRPr="00F4000D">
              <w:rPr>
                <w:rFonts w:ascii="Cambria Math" w:hAnsi="Cambria Math" w:cs="Cambria Math"/>
                <w:color w:val="000000" w:themeColor="text1"/>
                <w:sz w:val="24"/>
                <w:szCs w:val="24"/>
                <w:lang w:val="pl-PL"/>
              </w:rPr>
              <w:t>‑</w:t>
            </w:r>
            <w:r w:rsidR="000B756A" w:rsidRPr="00F4000D">
              <w:rPr>
                <w:rFonts w:asciiTheme="majorHAnsi" w:hAnsiTheme="majorHAnsi" w:cstheme="majorHAnsi"/>
                <w:color w:val="000000" w:themeColor="text1"/>
                <w:sz w:val="24"/>
                <w:szCs w:val="24"/>
                <w:lang w:val="pl-PL"/>
              </w:rPr>
              <w:t>line do platformy z zadaniami interaktywnymi z matematyki dla klas 4–8. Program powinien udostępniać zróżnicowane zadania/gry z elementami rywalizacji, pracę na tablicy/monitorze, rankingi/nagrody, a dla nauczycieli – monitoring postępów (dziennik/e</w:t>
            </w:r>
            <w:r w:rsidR="000B756A" w:rsidRPr="00F4000D">
              <w:rPr>
                <w:rFonts w:ascii="Cambria Math" w:hAnsi="Cambria Math" w:cs="Cambria Math"/>
                <w:color w:val="000000" w:themeColor="text1"/>
                <w:sz w:val="24"/>
                <w:szCs w:val="24"/>
                <w:lang w:val="pl-PL"/>
              </w:rPr>
              <w:t>‑</w:t>
            </w:r>
            <w:r w:rsidR="000B756A" w:rsidRPr="00F4000D">
              <w:rPr>
                <w:rFonts w:asciiTheme="majorHAnsi" w:hAnsiTheme="majorHAnsi" w:cstheme="majorHAnsi"/>
                <w:color w:val="000000" w:themeColor="text1"/>
                <w:sz w:val="24"/>
                <w:szCs w:val="24"/>
                <w:lang w:val="pl-PL"/>
              </w:rPr>
              <w:t>raporty). Produkt równoważny – platforma o podobnym zakresie tematycznym i funkcjach dydaktycznych</w:t>
            </w:r>
            <w:r>
              <w:rPr>
                <w:rFonts w:asciiTheme="majorHAnsi" w:hAnsiTheme="majorHAnsi" w:cstheme="majorHAnsi"/>
                <w:color w:val="000000" w:themeColor="text1"/>
                <w:sz w:val="24"/>
                <w:szCs w:val="24"/>
                <w:lang w:val="pl-PL"/>
              </w:rPr>
              <w:t>.</w:t>
            </w:r>
          </w:p>
        </w:tc>
      </w:tr>
      <w:tr w:rsidR="0055541E" w:rsidRPr="00F4000D" w14:paraId="27B924D4" w14:textId="77777777" w:rsidTr="005A0213">
        <w:trPr>
          <w:jc w:val="center"/>
        </w:trPr>
        <w:tc>
          <w:tcPr>
            <w:tcW w:w="848" w:type="dxa"/>
          </w:tcPr>
          <w:p w14:paraId="13714D04" w14:textId="406EDABF"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r w:rsidR="00F34201">
              <w:rPr>
                <w:rFonts w:asciiTheme="majorHAnsi" w:hAnsiTheme="majorHAnsi" w:cstheme="majorHAnsi"/>
                <w:color w:val="000000" w:themeColor="text1"/>
                <w:sz w:val="24"/>
                <w:szCs w:val="24"/>
                <w:lang w:val="pl-PL"/>
              </w:rPr>
              <w:t>2</w:t>
            </w:r>
          </w:p>
        </w:tc>
        <w:tc>
          <w:tcPr>
            <w:tcW w:w="2754" w:type="dxa"/>
          </w:tcPr>
          <w:p w14:paraId="7CA4501E"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Emocje - pakiet pomocy 2 lub równoważny</w:t>
            </w:r>
          </w:p>
        </w:tc>
        <w:tc>
          <w:tcPr>
            <w:tcW w:w="902" w:type="dxa"/>
          </w:tcPr>
          <w:p w14:paraId="46A27B8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395" w:type="dxa"/>
          </w:tcPr>
          <w:p w14:paraId="626A6BDF"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tradycyjnych pomocy wychowawczo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 xml:space="preserve">profilaktycznych do pracy nad emocjami i relacjami (np. plansze, plakaty, narzędzia do monitorowania nastroju/reakcji, materiały do </w:t>
            </w:r>
            <w:r w:rsidRPr="00F4000D">
              <w:rPr>
                <w:rFonts w:asciiTheme="majorHAnsi" w:hAnsiTheme="majorHAnsi" w:cstheme="majorHAnsi"/>
                <w:color w:val="000000" w:themeColor="text1"/>
                <w:sz w:val="24"/>
                <w:szCs w:val="24"/>
                <w:lang w:val="pl-PL"/>
              </w:rPr>
              <w:lastRenderedPageBreak/>
              <w:t>ćwiczeń i rozmów, elementy wspierające samoregulację). W zestawie powinien znaleźć się komponent multimedialny oraz gotowe materiały do prowadzenia zajęć w grupie i indywidualnie. Produkt równoważny – pakiet o zbliżonej strukturze (multimedia + plakaty/pomoce + instrukcje/scenariusze).</w:t>
            </w:r>
          </w:p>
        </w:tc>
      </w:tr>
      <w:tr w:rsidR="0055541E" w:rsidRPr="00F4000D" w14:paraId="7F73A39B" w14:textId="77777777" w:rsidTr="005A0213">
        <w:trPr>
          <w:jc w:val="center"/>
        </w:trPr>
        <w:tc>
          <w:tcPr>
            <w:tcW w:w="848" w:type="dxa"/>
          </w:tcPr>
          <w:p w14:paraId="04C69231" w14:textId="328DFEF9"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1</w:t>
            </w:r>
            <w:r w:rsidR="00F34201">
              <w:rPr>
                <w:rFonts w:asciiTheme="majorHAnsi" w:hAnsiTheme="majorHAnsi" w:cstheme="majorHAnsi"/>
                <w:color w:val="000000" w:themeColor="text1"/>
                <w:sz w:val="24"/>
                <w:szCs w:val="24"/>
                <w:lang w:val="pl-PL"/>
              </w:rPr>
              <w:t>3</w:t>
            </w:r>
          </w:p>
        </w:tc>
        <w:tc>
          <w:tcPr>
            <w:tcW w:w="2754" w:type="dxa"/>
          </w:tcPr>
          <w:p w14:paraId="50E3059E" w14:textId="77777777" w:rsidR="00372C08" w:rsidRPr="00F4000D" w:rsidRDefault="000B756A" w:rsidP="00982048">
            <w:pPr>
              <w:rPr>
                <w:rFonts w:asciiTheme="majorHAnsi" w:hAnsiTheme="majorHAnsi" w:cstheme="majorHAnsi"/>
                <w:color w:val="000000" w:themeColor="text1"/>
                <w:sz w:val="24"/>
                <w:szCs w:val="24"/>
                <w:lang w:val="pl-PL"/>
              </w:rPr>
            </w:pPr>
            <w:proofErr w:type="spellStart"/>
            <w:r w:rsidRPr="00F4000D">
              <w:rPr>
                <w:rFonts w:asciiTheme="majorHAnsi" w:hAnsiTheme="majorHAnsi" w:cstheme="majorHAnsi"/>
                <w:color w:val="000000" w:themeColor="text1"/>
                <w:sz w:val="24"/>
                <w:szCs w:val="24"/>
                <w:lang w:val="pl-PL"/>
              </w:rPr>
              <w:t>EduSensus</w:t>
            </w:r>
            <w:proofErr w:type="spellEnd"/>
            <w:r w:rsidRPr="00F4000D">
              <w:rPr>
                <w:rFonts w:asciiTheme="majorHAnsi" w:hAnsiTheme="majorHAnsi" w:cstheme="majorHAnsi"/>
                <w:color w:val="000000" w:themeColor="text1"/>
                <w:sz w:val="24"/>
                <w:szCs w:val="24"/>
                <w:lang w:val="pl-PL"/>
              </w:rPr>
              <w:t xml:space="preserve"> Moc emocji. Program multimedialny wspierający rozwój emocjonalno-społeczny z elementami socjoterapii dla dzieci w wieku 6-10 lat lub równoważny</w:t>
            </w:r>
          </w:p>
        </w:tc>
        <w:tc>
          <w:tcPr>
            <w:tcW w:w="902" w:type="dxa"/>
          </w:tcPr>
          <w:p w14:paraId="305B517F" w14:textId="31D64D1E" w:rsidR="00372C08" w:rsidRPr="00F4000D" w:rsidRDefault="00134AA1" w:rsidP="00F4000D">
            <w:pPr>
              <w:jc w:val="both"/>
              <w:rPr>
                <w:rFonts w:asciiTheme="majorHAnsi" w:hAnsiTheme="majorHAnsi" w:cstheme="majorHAnsi"/>
                <w:color w:val="000000" w:themeColor="text1"/>
                <w:sz w:val="24"/>
                <w:szCs w:val="24"/>
                <w:lang w:val="pl-PL"/>
              </w:rPr>
            </w:pPr>
            <w:r>
              <w:rPr>
                <w:rFonts w:asciiTheme="majorHAnsi" w:hAnsiTheme="majorHAnsi" w:cstheme="majorHAnsi"/>
                <w:color w:val="000000" w:themeColor="text1"/>
                <w:sz w:val="24"/>
                <w:szCs w:val="24"/>
                <w:lang w:val="pl-PL"/>
              </w:rPr>
              <w:t>2</w:t>
            </w:r>
          </w:p>
        </w:tc>
        <w:tc>
          <w:tcPr>
            <w:tcW w:w="5395" w:type="dxa"/>
          </w:tcPr>
          <w:p w14:paraId="3A523979" w14:textId="7BA28751"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Specjalistyczny program multimedialny do rozwijania kompetencji emocjonalno</w:t>
            </w:r>
            <w:r w:rsidRPr="00F4000D">
              <w:rPr>
                <w:rFonts w:ascii="Cambria Math" w:hAnsi="Cambria Math" w:cs="Cambria Math"/>
                <w:color w:val="000000" w:themeColor="text1"/>
                <w:sz w:val="24"/>
                <w:szCs w:val="24"/>
                <w:lang w:val="pl-PL"/>
              </w:rPr>
              <w:t>‑</w:t>
            </w:r>
            <w:r w:rsidRPr="00F4000D">
              <w:rPr>
                <w:rFonts w:asciiTheme="majorHAnsi" w:hAnsiTheme="majorHAnsi" w:cstheme="majorHAnsi"/>
                <w:color w:val="000000" w:themeColor="text1"/>
                <w:sz w:val="24"/>
                <w:szCs w:val="24"/>
                <w:lang w:val="pl-PL"/>
              </w:rPr>
              <w:t>społecznych w klasach 4–8, z lekcjami multimedialnymi, ćwiczeniami interaktywnymi, materiałami metodycznymi i licencją bezterminową na 3 urządzenia, zgodny z podstawą programową; współpraca z monitorami/tablicami, praca offline. Produkt równoważny – analogiczny zakres i funkcje</w:t>
            </w:r>
            <w:r w:rsidR="00982048">
              <w:rPr>
                <w:rFonts w:asciiTheme="majorHAnsi" w:hAnsiTheme="majorHAnsi" w:cstheme="majorHAnsi"/>
                <w:color w:val="000000" w:themeColor="text1"/>
                <w:sz w:val="24"/>
                <w:szCs w:val="24"/>
                <w:lang w:val="pl-PL"/>
              </w:rPr>
              <w:t>.</w:t>
            </w:r>
          </w:p>
        </w:tc>
      </w:tr>
    </w:tbl>
    <w:p w14:paraId="12586A8C" w14:textId="77777777" w:rsidR="00372C08" w:rsidRPr="00F4000D" w:rsidRDefault="00372C08" w:rsidP="00F4000D">
      <w:pPr>
        <w:jc w:val="both"/>
        <w:rPr>
          <w:rFonts w:asciiTheme="majorHAnsi" w:hAnsiTheme="majorHAnsi" w:cstheme="majorHAnsi"/>
          <w:color w:val="000000" w:themeColor="text1"/>
          <w:sz w:val="24"/>
          <w:szCs w:val="24"/>
          <w:lang w:val="pl-PL"/>
        </w:rPr>
      </w:pPr>
    </w:p>
    <w:p w14:paraId="64FC2C4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br w:type="page"/>
      </w:r>
    </w:p>
    <w:p w14:paraId="393BEBE6" w14:textId="77777777" w:rsidR="00372C08" w:rsidRPr="00F4000D" w:rsidRDefault="000B756A" w:rsidP="00F4000D">
      <w:pPr>
        <w:pStyle w:val="Nagwek2"/>
        <w:jc w:val="both"/>
        <w:rPr>
          <w:rFonts w:cstheme="majorHAnsi"/>
          <w:b w:val="0"/>
          <w:bCs w:val="0"/>
          <w:color w:val="000000" w:themeColor="text1"/>
          <w:sz w:val="24"/>
          <w:szCs w:val="24"/>
          <w:lang w:val="pl-PL"/>
        </w:rPr>
      </w:pPr>
      <w:r w:rsidRPr="00F4000D">
        <w:rPr>
          <w:rFonts w:cstheme="majorHAnsi"/>
          <w:b w:val="0"/>
          <w:bCs w:val="0"/>
          <w:color w:val="000000" w:themeColor="text1"/>
          <w:sz w:val="24"/>
          <w:szCs w:val="24"/>
          <w:lang w:val="pl-PL"/>
        </w:rPr>
        <w:lastRenderedPageBreak/>
        <w:t xml:space="preserve"> Część 3 sprzęt</w:t>
      </w:r>
    </w:p>
    <w:tbl>
      <w:tblPr>
        <w:tblStyle w:val="Tabela-Siatka"/>
        <w:tblW w:w="0" w:type="auto"/>
        <w:jc w:val="center"/>
        <w:tblLook w:val="04A0" w:firstRow="1" w:lastRow="0" w:firstColumn="1" w:lastColumn="0" w:noHBand="0" w:noVBand="1"/>
      </w:tblPr>
      <w:tblGrid>
        <w:gridCol w:w="809"/>
        <w:gridCol w:w="3427"/>
        <w:gridCol w:w="843"/>
        <w:gridCol w:w="4563"/>
      </w:tblGrid>
      <w:tr w:rsidR="0055541E" w:rsidRPr="00F4000D" w14:paraId="1E0723C5" w14:textId="77777777" w:rsidTr="00F4000D">
        <w:trPr>
          <w:jc w:val="center"/>
        </w:trPr>
        <w:tc>
          <w:tcPr>
            <w:tcW w:w="809" w:type="dxa"/>
          </w:tcPr>
          <w:p w14:paraId="4AD5A84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L.p.</w:t>
            </w:r>
          </w:p>
        </w:tc>
        <w:tc>
          <w:tcPr>
            <w:tcW w:w="3427" w:type="dxa"/>
          </w:tcPr>
          <w:p w14:paraId="01A6725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Nazwa produktu</w:t>
            </w:r>
          </w:p>
        </w:tc>
        <w:tc>
          <w:tcPr>
            <w:tcW w:w="843" w:type="dxa"/>
          </w:tcPr>
          <w:p w14:paraId="697CF0F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Ilość</w:t>
            </w:r>
          </w:p>
        </w:tc>
        <w:tc>
          <w:tcPr>
            <w:tcW w:w="4563" w:type="dxa"/>
          </w:tcPr>
          <w:p w14:paraId="7935BFAC"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Opis / minimalne wymagania</w:t>
            </w:r>
          </w:p>
        </w:tc>
      </w:tr>
      <w:tr w:rsidR="0055541E" w:rsidRPr="00F4000D" w14:paraId="1AAC2756" w14:textId="77777777" w:rsidTr="00F4000D">
        <w:trPr>
          <w:jc w:val="center"/>
        </w:trPr>
        <w:tc>
          <w:tcPr>
            <w:tcW w:w="809" w:type="dxa"/>
          </w:tcPr>
          <w:p w14:paraId="12F400D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3427" w:type="dxa"/>
          </w:tcPr>
          <w:p w14:paraId="35D08AB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Projektor</w:t>
            </w:r>
          </w:p>
        </w:tc>
        <w:tc>
          <w:tcPr>
            <w:tcW w:w="843" w:type="dxa"/>
          </w:tcPr>
          <w:p w14:paraId="1C65CC0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563" w:type="dxa"/>
          </w:tcPr>
          <w:p w14:paraId="57DDFC81" w14:textId="77777777" w:rsid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Parametry minimalne:</w:t>
            </w:r>
          </w:p>
          <w:p w14:paraId="06DFFDBE" w14:textId="77777777" w:rsid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Typ matrycy: DLP</w:t>
            </w:r>
          </w:p>
          <w:p w14:paraId="3FC7846E" w14:textId="77777777" w:rsid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Jasność [ANSI lumen]: 700</w:t>
            </w:r>
          </w:p>
          <w:p w14:paraId="08131905" w14:textId="77777777" w:rsid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Współczynnik kontrastu: 10000:1</w:t>
            </w:r>
          </w:p>
          <w:p w14:paraId="1307C0AF" w14:textId="77777777" w:rsid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Rozdzielczość podstawowa: WXGA (1280 x 800)</w:t>
            </w:r>
            <w:r w:rsidR="00F4000D">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 xml:space="preserve">3D </w:t>
            </w:r>
            <w:proofErr w:type="spellStart"/>
            <w:r w:rsidRPr="00F4000D">
              <w:rPr>
                <w:rFonts w:asciiTheme="majorHAnsi" w:hAnsiTheme="majorHAnsi" w:cstheme="majorHAnsi"/>
                <w:color w:val="000000" w:themeColor="text1"/>
                <w:sz w:val="24"/>
                <w:szCs w:val="24"/>
                <w:lang w:val="pl-PL"/>
              </w:rPr>
              <w:t>ready</w:t>
            </w:r>
            <w:proofErr w:type="spellEnd"/>
          </w:p>
          <w:p w14:paraId="4C172E8D" w14:textId="77777777" w:rsid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Prezentacja bez komputera</w:t>
            </w:r>
          </w:p>
          <w:p w14:paraId="0850B13D" w14:textId="3061B48C"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Głośniki</w:t>
            </w:r>
          </w:p>
        </w:tc>
      </w:tr>
      <w:tr w:rsidR="0055541E" w:rsidRPr="00F4000D" w14:paraId="71CCFC89" w14:textId="77777777" w:rsidTr="00F4000D">
        <w:trPr>
          <w:jc w:val="center"/>
        </w:trPr>
        <w:tc>
          <w:tcPr>
            <w:tcW w:w="809" w:type="dxa"/>
          </w:tcPr>
          <w:p w14:paraId="596DCE3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3427" w:type="dxa"/>
          </w:tcPr>
          <w:p w14:paraId="648D8BE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Monitor interaktywny</w:t>
            </w:r>
          </w:p>
        </w:tc>
        <w:tc>
          <w:tcPr>
            <w:tcW w:w="843" w:type="dxa"/>
          </w:tcPr>
          <w:p w14:paraId="253D9216" w14:textId="568E9469" w:rsidR="00372C08" w:rsidRPr="00F4000D" w:rsidRDefault="002705B9" w:rsidP="00F4000D">
            <w:pPr>
              <w:jc w:val="both"/>
              <w:rPr>
                <w:rFonts w:asciiTheme="majorHAnsi" w:hAnsiTheme="majorHAnsi" w:cstheme="majorHAnsi"/>
                <w:color w:val="000000" w:themeColor="text1"/>
                <w:sz w:val="24"/>
                <w:szCs w:val="24"/>
                <w:lang w:val="pl-PL"/>
              </w:rPr>
            </w:pPr>
            <w:r>
              <w:rPr>
                <w:rFonts w:asciiTheme="majorHAnsi" w:hAnsiTheme="majorHAnsi" w:cstheme="majorHAnsi"/>
                <w:color w:val="000000" w:themeColor="text1"/>
                <w:sz w:val="24"/>
                <w:szCs w:val="24"/>
                <w:lang w:val="pl-PL"/>
              </w:rPr>
              <w:t>6</w:t>
            </w:r>
          </w:p>
        </w:tc>
        <w:tc>
          <w:tcPr>
            <w:tcW w:w="4563" w:type="dxa"/>
          </w:tcPr>
          <w:p w14:paraId="64FA2E6A" w14:textId="77777777" w:rsid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Monitor interaktywny 65" </w:t>
            </w:r>
          </w:p>
          <w:p w14:paraId="0AE44352" w14:textId="77777777" w:rsid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min. parametry:</w:t>
            </w:r>
          </w:p>
          <w:p w14:paraId="22AC969C" w14:textId="77777777" w:rsid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Przekątna 65", 163.9cm</w:t>
            </w:r>
          </w:p>
          <w:p w14:paraId="461A160E" w14:textId="521A9691" w:rsidR="00372C08" w:rsidRPr="00F4000D" w:rsidRDefault="000B756A" w:rsidP="00F4000D">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Panel IPS LED</w:t>
            </w:r>
            <w:r w:rsidRPr="00F4000D">
              <w:rPr>
                <w:rFonts w:asciiTheme="majorHAnsi" w:hAnsiTheme="majorHAnsi" w:cstheme="majorHAnsi"/>
                <w:color w:val="000000" w:themeColor="text1"/>
                <w:sz w:val="24"/>
                <w:szCs w:val="24"/>
                <w:lang w:val="pl-PL"/>
              </w:rPr>
              <w:br/>
              <w:t>Rozdzielczość fizyczna 3840x2160 (4K)</w:t>
            </w:r>
            <w:r w:rsidRPr="00F4000D">
              <w:rPr>
                <w:rFonts w:asciiTheme="majorHAnsi" w:hAnsiTheme="majorHAnsi" w:cstheme="majorHAnsi"/>
                <w:color w:val="000000" w:themeColor="text1"/>
                <w:sz w:val="24"/>
                <w:szCs w:val="24"/>
                <w:lang w:val="pl-PL"/>
              </w:rPr>
              <w:br/>
              <w:t>Interfejs dotykowy USB</w:t>
            </w:r>
            <w:r w:rsidRPr="00F4000D">
              <w:rPr>
                <w:rFonts w:asciiTheme="majorHAnsi" w:hAnsiTheme="majorHAnsi" w:cstheme="majorHAnsi"/>
                <w:color w:val="000000" w:themeColor="text1"/>
                <w:sz w:val="24"/>
                <w:szCs w:val="24"/>
                <w:lang w:val="pl-PL"/>
              </w:rPr>
              <w:br/>
              <w:t>HDMI 1: 2.1, USB-C: 2.2</w:t>
            </w:r>
            <w:r w:rsidRPr="00F4000D">
              <w:rPr>
                <w:rFonts w:asciiTheme="majorHAnsi" w:hAnsiTheme="majorHAnsi" w:cstheme="majorHAnsi"/>
                <w:color w:val="000000" w:themeColor="text1"/>
                <w:sz w:val="24"/>
                <w:szCs w:val="24"/>
                <w:lang w:val="pl-PL"/>
              </w:rPr>
              <w:br/>
              <w:t>Cyfrowe wyjścia sygnału HDMI x1</w:t>
            </w:r>
          </w:p>
        </w:tc>
      </w:tr>
      <w:tr w:rsidR="0055541E" w:rsidRPr="00F4000D" w14:paraId="0051DF1F" w14:textId="77777777" w:rsidTr="00F4000D">
        <w:trPr>
          <w:jc w:val="center"/>
        </w:trPr>
        <w:tc>
          <w:tcPr>
            <w:tcW w:w="809" w:type="dxa"/>
          </w:tcPr>
          <w:p w14:paraId="600111B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w:t>
            </w:r>
          </w:p>
        </w:tc>
        <w:tc>
          <w:tcPr>
            <w:tcW w:w="3427" w:type="dxa"/>
          </w:tcPr>
          <w:p w14:paraId="2411CD1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Mobilny bezprzewodowy głośnik z bezprzewodowym mikrofonem</w:t>
            </w:r>
          </w:p>
        </w:tc>
        <w:tc>
          <w:tcPr>
            <w:tcW w:w="843" w:type="dxa"/>
          </w:tcPr>
          <w:p w14:paraId="59F5878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563" w:type="dxa"/>
          </w:tcPr>
          <w:p w14:paraId="3B5D2B46" w14:textId="77777777" w:rsidR="00372C08" w:rsidRPr="00F4000D" w:rsidRDefault="000B756A" w:rsidP="00F4000D">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Przenośny system nagłośnieniowy na różnego rodzaju wydarzenia i występy, zapewniający wysokiej jakości dźwięk.</w:t>
            </w:r>
            <w:r w:rsidRPr="00F4000D">
              <w:rPr>
                <w:rFonts w:asciiTheme="majorHAnsi" w:hAnsiTheme="majorHAnsi" w:cstheme="majorHAnsi"/>
                <w:color w:val="000000" w:themeColor="text1"/>
                <w:sz w:val="24"/>
                <w:szCs w:val="24"/>
                <w:lang w:val="pl-PL"/>
              </w:rPr>
              <w:br/>
              <w:t>Min. parametry techniczne:</w:t>
            </w:r>
            <w:r w:rsidRPr="00F4000D">
              <w:rPr>
                <w:rFonts w:asciiTheme="majorHAnsi" w:hAnsiTheme="majorHAnsi" w:cstheme="majorHAnsi"/>
                <w:color w:val="000000" w:themeColor="text1"/>
                <w:sz w:val="24"/>
                <w:szCs w:val="24"/>
                <w:lang w:val="pl-PL"/>
              </w:rPr>
              <w:br/>
              <w:t>Czas pracy na baterii: 4 godziny</w:t>
            </w:r>
            <w:r w:rsidRPr="00F4000D">
              <w:rPr>
                <w:rFonts w:asciiTheme="majorHAnsi" w:hAnsiTheme="majorHAnsi" w:cstheme="majorHAnsi"/>
                <w:color w:val="000000" w:themeColor="text1"/>
                <w:sz w:val="24"/>
                <w:szCs w:val="24"/>
                <w:lang w:val="pl-PL"/>
              </w:rPr>
              <w:br/>
              <w:t>-bezprzewodowy mikrofon</w:t>
            </w:r>
            <w:r w:rsidRPr="00F4000D">
              <w:rPr>
                <w:rFonts w:asciiTheme="majorHAnsi" w:hAnsiTheme="majorHAnsi" w:cstheme="majorHAnsi"/>
                <w:color w:val="000000" w:themeColor="text1"/>
                <w:sz w:val="24"/>
                <w:szCs w:val="24"/>
                <w:lang w:val="pl-PL"/>
              </w:rPr>
              <w:br/>
              <w:t>-Bluetooth</w:t>
            </w:r>
            <w:r w:rsidRPr="00F4000D">
              <w:rPr>
                <w:rFonts w:asciiTheme="majorHAnsi" w:hAnsiTheme="majorHAnsi" w:cstheme="majorHAnsi"/>
                <w:color w:val="000000" w:themeColor="text1"/>
                <w:sz w:val="24"/>
                <w:szCs w:val="24"/>
                <w:lang w:val="pl-PL"/>
              </w:rPr>
              <w:br/>
              <w:t>-wejścia pozwalające na podłączenie różnych źródeł dźwięku</w:t>
            </w:r>
            <w:r w:rsidRPr="00F4000D">
              <w:rPr>
                <w:rFonts w:asciiTheme="majorHAnsi" w:hAnsiTheme="majorHAnsi" w:cstheme="majorHAnsi"/>
                <w:color w:val="000000" w:themeColor="text1"/>
                <w:sz w:val="24"/>
                <w:szCs w:val="24"/>
                <w:lang w:val="pl-PL"/>
              </w:rPr>
              <w:br/>
              <w:t>-gwarancja: 2 lata</w:t>
            </w:r>
          </w:p>
        </w:tc>
      </w:tr>
      <w:tr w:rsidR="0055541E" w:rsidRPr="00F4000D" w14:paraId="135E47CE" w14:textId="77777777" w:rsidTr="00F4000D">
        <w:trPr>
          <w:jc w:val="center"/>
        </w:trPr>
        <w:tc>
          <w:tcPr>
            <w:tcW w:w="809" w:type="dxa"/>
          </w:tcPr>
          <w:p w14:paraId="5FE94EB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4</w:t>
            </w:r>
          </w:p>
        </w:tc>
        <w:tc>
          <w:tcPr>
            <w:tcW w:w="3427" w:type="dxa"/>
          </w:tcPr>
          <w:p w14:paraId="147D09D7"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Komputer stacjonarny z klawiaturą, myszką i oprogramowaniem</w:t>
            </w:r>
          </w:p>
        </w:tc>
        <w:tc>
          <w:tcPr>
            <w:tcW w:w="843" w:type="dxa"/>
          </w:tcPr>
          <w:p w14:paraId="1BEF32A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9</w:t>
            </w:r>
          </w:p>
        </w:tc>
        <w:tc>
          <w:tcPr>
            <w:tcW w:w="4563" w:type="dxa"/>
          </w:tcPr>
          <w:p w14:paraId="4278122E" w14:textId="47A48C7E" w:rsidR="00372C08" w:rsidRPr="00F4000D" w:rsidRDefault="000B756A" w:rsidP="00F4000D">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Komputer stacjonarny typu </w:t>
            </w:r>
            <w:proofErr w:type="spellStart"/>
            <w:r w:rsidRPr="00F4000D">
              <w:rPr>
                <w:rFonts w:asciiTheme="majorHAnsi" w:hAnsiTheme="majorHAnsi" w:cstheme="majorHAnsi"/>
                <w:color w:val="000000" w:themeColor="text1"/>
                <w:sz w:val="24"/>
                <w:szCs w:val="24"/>
                <w:lang w:val="pl-PL"/>
              </w:rPr>
              <w:t>All</w:t>
            </w:r>
            <w:proofErr w:type="spellEnd"/>
            <w:r w:rsidRPr="00F4000D">
              <w:rPr>
                <w:rFonts w:asciiTheme="majorHAnsi" w:hAnsiTheme="majorHAnsi" w:cstheme="majorHAnsi"/>
                <w:color w:val="000000" w:themeColor="text1"/>
                <w:sz w:val="24"/>
                <w:szCs w:val="24"/>
                <w:lang w:val="pl-PL"/>
              </w:rPr>
              <w:t>-in-One min. parametry:</w:t>
            </w:r>
            <w:r w:rsidRPr="00F4000D">
              <w:rPr>
                <w:rFonts w:asciiTheme="majorHAnsi" w:hAnsiTheme="majorHAnsi" w:cstheme="majorHAnsi"/>
                <w:color w:val="000000" w:themeColor="text1"/>
                <w:sz w:val="24"/>
                <w:szCs w:val="24"/>
                <w:lang w:val="pl-PL"/>
              </w:rPr>
              <w:br/>
              <w:t xml:space="preserve">Punkty procesora nie mniej niż 22900pkt według portalu </w:t>
            </w:r>
            <w:proofErr w:type="spellStart"/>
            <w:r w:rsidRPr="00F4000D">
              <w:rPr>
                <w:rFonts w:asciiTheme="majorHAnsi" w:hAnsiTheme="majorHAnsi" w:cstheme="majorHAnsi"/>
                <w:color w:val="000000" w:themeColor="text1"/>
                <w:sz w:val="24"/>
                <w:szCs w:val="24"/>
                <w:lang w:val="pl-PL"/>
              </w:rPr>
              <w:t>cpubenchmark</w:t>
            </w:r>
            <w:proofErr w:type="spellEnd"/>
            <w:r w:rsidRPr="00F4000D">
              <w:rPr>
                <w:rFonts w:asciiTheme="majorHAnsi" w:hAnsiTheme="majorHAnsi" w:cstheme="majorHAnsi"/>
                <w:color w:val="000000" w:themeColor="text1"/>
                <w:sz w:val="24"/>
                <w:szCs w:val="24"/>
                <w:lang w:val="pl-PL"/>
              </w:rPr>
              <w:br/>
              <w:t>16</w:t>
            </w:r>
            <w:r w:rsidR="00F4000D">
              <w:rPr>
                <w:rFonts w:asciiTheme="majorHAnsi" w:hAnsiTheme="majorHAnsi" w:cstheme="majorHAnsi"/>
                <w:color w:val="000000" w:themeColor="text1"/>
                <w:sz w:val="24"/>
                <w:szCs w:val="24"/>
                <w:lang w:val="pl-PL"/>
              </w:rPr>
              <w:t>Gb</w:t>
            </w:r>
            <w:r w:rsidRPr="00F4000D">
              <w:rPr>
                <w:rFonts w:asciiTheme="majorHAnsi" w:hAnsiTheme="majorHAnsi" w:cstheme="majorHAnsi"/>
                <w:color w:val="000000" w:themeColor="text1"/>
                <w:sz w:val="24"/>
                <w:szCs w:val="24"/>
                <w:lang w:val="pl-PL"/>
              </w:rPr>
              <w:t xml:space="preserve"> pamięci ram</w:t>
            </w:r>
            <w:r w:rsidRPr="00F4000D">
              <w:rPr>
                <w:rFonts w:asciiTheme="majorHAnsi" w:hAnsiTheme="majorHAnsi" w:cstheme="majorHAnsi"/>
                <w:color w:val="000000" w:themeColor="text1"/>
                <w:sz w:val="24"/>
                <w:szCs w:val="24"/>
                <w:lang w:val="pl-PL"/>
              </w:rPr>
              <w:br/>
              <w:t xml:space="preserve">System operacyjny </w:t>
            </w:r>
            <w:proofErr w:type="spellStart"/>
            <w:r w:rsidRPr="00F4000D">
              <w:rPr>
                <w:rFonts w:asciiTheme="majorHAnsi" w:hAnsiTheme="majorHAnsi" w:cstheme="majorHAnsi"/>
                <w:color w:val="000000" w:themeColor="text1"/>
                <w:sz w:val="24"/>
                <w:szCs w:val="24"/>
                <w:lang w:val="pl-PL"/>
              </w:rPr>
              <w:t>windows</w:t>
            </w:r>
            <w:proofErr w:type="spellEnd"/>
            <w:r w:rsidRPr="00F4000D">
              <w:rPr>
                <w:rFonts w:asciiTheme="majorHAnsi" w:hAnsiTheme="majorHAnsi" w:cstheme="majorHAnsi"/>
                <w:color w:val="000000" w:themeColor="text1"/>
                <w:sz w:val="24"/>
                <w:szCs w:val="24"/>
                <w:lang w:val="pl-PL"/>
              </w:rPr>
              <w:t xml:space="preserve"> 11 pro (lub równoważny)</w:t>
            </w:r>
            <w:r w:rsidRPr="00F4000D">
              <w:rPr>
                <w:rFonts w:asciiTheme="majorHAnsi" w:hAnsiTheme="majorHAnsi" w:cstheme="majorHAnsi"/>
                <w:color w:val="000000" w:themeColor="text1"/>
                <w:sz w:val="24"/>
                <w:szCs w:val="24"/>
                <w:lang w:val="pl-PL"/>
              </w:rPr>
              <w:br/>
              <w:t>Ekran o przekątnej 23,8" rozdzielczość Full HD(1920x1080p)</w:t>
            </w:r>
            <w:r w:rsidRPr="00F4000D">
              <w:rPr>
                <w:rFonts w:asciiTheme="majorHAnsi" w:hAnsiTheme="majorHAnsi" w:cstheme="majorHAnsi"/>
                <w:color w:val="000000" w:themeColor="text1"/>
                <w:sz w:val="24"/>
                <w:szCs w:val="24"/>
                <w:lang w:val="pl-PL"/>
              </w:rPr>
              <w:br/>
              <w:t xml:space="preserve">Fizyczne złącza RJ45,2x USB typ A,3x USB C, </w:t>
            </w:r>
            <w:proofErr w:type="spellStart"/>
            <w:r w:rsidRPr="00F4000D">
              <w:rPr>
                <w:rFonts w:asciiTheme="majorHAnsi" w:hAnsiTheme="majorHAnsi" w:cstheme="majorHAnsi"/>
                <w:color w:val="000000" w:themeColor="text1"/>
                <w:sz w:val="24"/>
                <w:szCs w:val="24"/>
                <w:lang w:val="pl-PL"/>
              </w:rPr>
              <w:t>Złacze</w:t>
            </w:r>
            <w:proofErr w:type="spellEnd"/>
            <w:r w:rsidRPr="00F4000D">
              <w:rPr>
                <w:rFonts w:asciiTheme="majorHAnsi" w:hAnsiTheme="majorHAnsi" w:cstheme="majorHAnsi"/>
                <w:color w:val="000000" w:themeColor="text1"/>
                <w:sz w:val="24"/>
                <w:szCs w:val="24"/>
                <w:lang w:val="pl-PL"/>
              </w:rPr>
              <w:t xml:space="preserve"> HDMI</w:t>
            </w:r>
            <w:r w:rsidRPr="00F4000D">
              <w:rPr>
                <w:rFonts w:asciiTheme="majorHAnsi" w:hAnsiTheme="majorHAnsi" w:cstheme="majorHAnsi"/>
                <w:color w:val="000000" w:themeColor="text1"/>
                <w:sz w:val="24"/>
                <w:szCs w:val="24"/>
                <w:lang w:val="pl-PL"/>
              </w:rPr>
              <w:br/>
              <w:t xml:space="preserve">Dysk SSD M2 </w:t>
            </w:r>
            <w:proofErr w:type="spellStart"/>
            <w:r w:rsidRPr="00F4000D">
              <w:rPr>
                <w:rFonts w:asciiTheme="majorHAnsi" w:hAnsiTheme="majorHAnsi" w:cstheme="majorHAnsi"/>
                <w:color w:val="000000" w:themeColor="text1"/>
                <w:sz w:val="24"/>
                <w:szCs w:val="24"/>
                <w:lang w:val="pl-PL"/>
              </w:rPr>
              <w:t>NVMe</w:t>
            </w:r>
            <w:proofErr w:type="spellEnd"/>
            <w:r w:rsidRPr="00F4000D">
              <w:rPr>
                <w:rFonts w:asciiTheme="majorHAnsi" w:hAnsiTheme="majorHAnsi" w:cstheme="majorHAnsi"/>
                <w:color w:val="000000" w:themeColor="text1"/>
                <w:sz w:val="24"/>
                <w:szCs w:val="24"/>
                <w:lang w:val="pl-PL"/>
              </w:rPr>
              <w:t xml:space="preserve"> 512GB</w:t>
            </w:r>
          </w:p>
        </w:tc>
      </w:tr>
      <w:tr w:rsidR="0055541E" w:rsidRPr="00F4000D" w14:paraId="51C40E7A" w14:textId="77777777" w:rsidTr="00F4000D">
        <w:trPr>
          <w:jc w:val="center"/>
        </w:trPr>
        <w:tc>
          <w:tcPr>
            <w:tcW w:w="809" w:type="dxa"/>
          </w:tcPr>
          <w:p w14:paraId="22F55C3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5</w:t>
            </w:r>
          </w:p>
        </w:tc>
        <w:tc>
          <w:tcPr>
            <w:tcW w:w="3427" w:type="dxa"/>
          </w:tcPr>
          <w:p w14:paraId="39DE79AD"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Oprogramowanie Microsoft Office Home and </w:t>
            </w:r>
            <w:proofErr w:type="spellStart"/>
            <w:r w:rsidRPr="00F4000D">
              <w:rPr>
                <w:rFonts w:asciiTheme="majorHAnsi" w:hAnsiTheme="majorHAnsi" w:cstheme="majorHAnsi"/>
                <w:color w:val="000000" w:themeColor="text1"/>
                <w:sz w:val="24"/>
                <w:szCs w:val="24"/>
                <w:lang w:val="pl-PL"/>
              </w:rPr>
              <w:t>Buisness</w:t>
            </w:r>
            <w:proofErr w:type="spellEnd"/>
            <w:r w:rsidRPr="00F4000D">
              <w:rPr>
                <w:rFonts w:asciiTheme="majorHAnsi" w:hAnsiTheme="majorHAnsi" w:cstheme="majorHAnsi"/>
                <w:color w:val="000000" w:themeColor="text1"/>
                <w:sz w:val="24"/>
                <w:szCs w:val="24"/>
                <w:lang w:val="pl-PL"/>
              </w:rPr>
              <w:t xml:space="preserve"> (lub równoważne) do komputera dla </w:t>
            </w:r>
            <w:r w:rsidRPr="00F4000D">
              <w:rPr>
                <w:rFonts w:asciiTheme="majorHAnsi" w:hAnsiTheme="majorHAnsi" w:cstheme="majorHAnsi"/>
                <w:color w:val="000000" w:themeColor="text1"/>
                <w:sz w:val="24"/>
                <w:szCs w:val="24"/>
                <w:lang w:val="pl-PL"/>
              </w:rPr>
              <w:lastRenderedPageBreak/>
              <w:t>nauczyciela</w:t>
            </w:r>
          </w:p>
        </w:tc>
        <w:tc>
          <w:tcPr>
            <w:tcW w:w="843" w:type="dxa"/>
          </w:tcPr>
          <w:p w14:paraId="26EEAC5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1</w:t>
            </w:r>
          </w:p>
        </w:tc>
        <w:tc>
          <w:tcPr>
            <w:tcW w:w="4563" w:type="dxa"/>
          </w:tcPr>
          <w:p w14:paraId="2D55DB1F" w14:textId="77777777" w:rsidR="00372C08" w:rsidRPr="00F4000D" w:rsidRDefault="000B756A" w:rsidP="00F4000D">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Zakup jednorazowy dla 1 komputera PC lub Mac</w:t>
            </w:r>
            <w:r w:rsidRPr="00F4000D">
              <w:rPr>
                <w:rFonts w:asciiTheme="majorHAnsi" w:hAnsiTheme="majorHAnsi" w:cstheme="majorHAnsi"/>
                <w:color w:val="000000" w:themeColor="text1"/>
                <w:sz w:val="24"/>
                <w:szCs w:val="24"/>
                <w:lang w:val="pl-PL"/>
              </w:rPr>
              <w:br/>
              <w:t xml:space="preserve">Klasyczne wersje aplikacji Word, Excel, </w:t>
            </w:r>
            <w:r w:rsidRPr="00F4000D">
              <w:rPr>
                <w:rFonts w:asciiTheme="majorHAnsi" w:hAnsiTheme="majorHAnsi" w:cstheme="majorHAnsi"/>
                <w:color w:val="000000" w:themeColor="text1"/>
                <w:sz w:val="24"/>
                <w:szCs w:val="24"/>
                <w:lang w:val="pl-PL"/>
              </w:rPr>
              <w:lastRenderedPageBreak/>
              <w:t>PowerPoint, Outlook i OneNote 2024</w:t>
            </w:r>
            <w:r w:rsidRPr="00F4000D">
              <w:rPr>
                <w:rFonts w:asciiTheme="majorHAnsi" w:hAnsiTheme="majorHAnsi" w:cstheme="majorHAnsi"/>
                <w:color w:val="000000" w:themeColor="text1"/>
                <w:sz w:val="24"/>
                <w:szCs w:val="24"/>
                <w:lang w:val="pl-PL"/>
              </w:rPr>
              <w:br/>
              <w:t>Dostęp do zasobów pomocy</w:t>
            </w:r>
            <w:r w:rsidRPr="00F4000D">
              <w:rPr>
                <w:rFonts w:asciiTheme="majorHAnsi" w:hAnsiTheme="majorHAnsi" w:cstheme="majorHAnsi"/>
                <w:color w:val="000000" w:themeColor="text1"/>
                <w:sz w:val="24"/>
                <w:szCs w:val="24"/>
                <w:lang w:val="pl-PL"/>
              </w:rPr>
              <w:br/>
              <w:t xml:space="preserve">Zgodność z systemami Windows 11, Windows 10 lub </w:t>
            </w:r>
            <w:proofErr w:type="spellStart"/>
            <w:r w:rsidRPr="00F4000D">
              <w:rPr>
                <w:rFonts w:asciiTheme="majorHAnsi" w:hAnsiTheme="majorHAnsi" w:cstheme="majorHAnsi"/>
                <w:color w:val="000000" w:themeColor="text1"/>
                <w:sz w:val="24"/>
                <w:szCs w:val="24"/>
                <w:lang w:val="pl-PL"/>
              </w:rPr>
              <w:t>macOS</w:t>
            </w:r>
            <w:proofErr w:type="spellEnd"/>
            <w:r w:rsidRPr="00F4000D">
              <w:rPr>
                <w:rFonts w:asciiTheme="majorHAnsi" w:hAnsiTheme="majorHAnsi" w:cstheme="majorHAnsi"/>
                <w:color w:val="000000" w:themeColor="text1"/>
                <w:sz w:val="24"/>
                <w:szCs w:val="24"/>
                <w:lang w:val="pl-PL"/>
              </w:rPr>
              <w:t>*</w:t>
            </w:r>
            <w:r w:rsidRPr="00F4000D">
              <w:rPr>
                <w:rFonts w:asciiTheme="majorHAnsi" w:hAnsiTheme="majorHAnsi" w:cstheme="majorHAnsi"/>
                <w:color w:val="000000" w:themeColor="text1"/>
                <w:sz w:val="24"/>
                <w:szCs w:val="24"/>
                <w:lang w:val="pl-PL"/>
              </w:rPr>
              <w:br/>
              <w:t xml:space="preserve">Współpracuje z Microsoft </w:t>
            </w:r>
            <w:proofErr w:type="spellStart"/>
            <w:r w:rsidRPr="00F4000D">
              <w:rPr>
                <w:rFonts w:asciiTheme="majorHAnsi" w:hAnsiTheme="majorHAnsi" w:cstheme="majorHAnsi"/>
                <w:color w:val="000000" w:themeColor="text1"/>
                <w:sz w:val="24"/>
                <w:szCs w:val="24"/>
                <w:lang w:val="pl-PL"/>
              </w:rPr>
              <w:t>Teams</w:t>
            </w:r>
            <w:proofErr w:type="spellEnd"/>
          </w:p>
        </w:tc>
      </w:tr>
      <w:tr w:rsidR="0055541E" w:rsidRPr="00F4000D" w14:paraId="26D784F8" w14:textId="77777777" w:rsidTr="00F4000D">
        <w:trPr>
          <w:jc w:val="center"/>
        </w:trPr>
        <w:tc>
          <w:tcPr>
            <w:tcW w:w="809" w:type="dxa"/>
          </w:tcPr>
          <w:p w14:paraId="549DCA73" w14:textId="338A7F6A" w:rsidR="00372C08" w:rsidRPr="00F4000D" w:rsidRDefault="002705B9" w:rsidP="00F4000D">
            <w:pPr>
              <w:jc w:val="both"/>
              <w:rPr>
                <w:rFonts w:asciiTheme="majorHAnsi" w:hAnsiTheme="majorHAnsi" w:cstheme="majorHAnsi"/>
                <w:color w:val="000000" w:themeColor="text1"/>
                <w:sz w:val="24"/>
                <w:szCs w:val="24"/>
                <w:lang w:val="pl-PL"/>
              </w:rPr>
            </w:pPr>
            <w:r>
              <w:rPr>
                <w:rFonts w:asciiTheme="majorHAnsi" w:hAnsiTheme="majorHAnsi" w:cstheme="majorHAnsi"/>
                <w:color w:val="000000" w:themeColor="text1"/>
                <w:sz w:val="24"/>
                <w:szCs w:val="24"/>
                <w:lang w:val="pl-PL"/>
              </w:rPr>
              <w:lastRenderedPageBreak/>
              <w:t>6</w:t>
            </w:r>
          </w:p>
        </w:tc>
        <w:tc>
          <w:tcPr>
            <w:tcW w:w="3427" w:type="dxa"/>
          </w:tcPr>
          <w:p w14:paraId="446C84A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Laptop</w:t>
            </w:r>
          </w:p>
        </w:tc>
        <w:tc>
          <w:tcPr>
            <w:tcW w:w="843" w:type="dxa"/>
          </w:tcPr>
          <w:p w14:paraId="1229E392" w14:textId="25F002F0"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r w:rsidR="002705B9">
              <w:rPr>
                <w:rFonts w:asciiTheme="majorHAnsi" w:hAnsiTheme="majorHAnsi" w:cstheme="majorHAnsi"/>
                <w:color w:val="000000" w:themeColor="text1"/>
                <w:sz w:val="24"/>
                <w:szCs w:val="24"/>
                <w:lang w:val="pl-PL"/>
              </w:rPr>
              <w:t>2</w:t>
            </w:r>
          </w:p>
        </w:tc>
        <w:tc>
          <w:tcPr>
            <w:tcW w:w="4563" w:type="dxa"/>
          </w:tcPr>
          <w:p w14:paraId="6C0C16E7" w14:textId="1A77FE2B"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Laptop min. parametry:</w:t>
            </w:r>
            <w:r w:rsidRPr="00F4000D">
              <w:rPr>
                <w:rFonts w:asciiTheme="majorHAnsi" w:hAnsiTheme="majorHAnsi" w:cstheme="majorHAnsi"/>
                <w:color w:val="000000" w:themeColor="text1"/>
                <w:sz w:val="24"/>
                <w:szCs w:val="24"/>
                <w:lang w:val="pl-PL"/>
              </w:rPr>
              <w:br/>
              <w:t xml:space="preserve">Punkty procesora nie mniej niż 13400 pkt według portalu </w:t>
            </w:r>
            <w:proofErr w:type="spellStart"/>
            <w:r w:rsidRPr="00F4000D">
              <w:rPr>
                <w:rFonts w:asciiTheme="majorHAnsi" w:hAnsiTheme="majorHAnsi" w:cstheme="majorHAnsi"/>
                <w:color w:val="000000" w:themeColor="text1"/>
                <w:sz w:val="24"/>
                <w:szCs w:val="24"/>
                <w:lang w:val="pl-PL"/>
              </w:rPr>
              <w:t>cpubenchmark</w:t>
            </w:r>
            <w:proofErr w:type="spellEnd"/>
            <w:r w:rsidRPr="00F4000D">
              <w:rPr>
                <w:rFonts w:asciiTheme="majorHAnsi" w:hAnsiTheme="majorHAnsi" w:cstheme="majorHAnsi"/>
                <w:color w:val="000000" w:themeColor="text1"/>
                <w:sz w:val="24"/>
                <w:szCs w:val="24"/>
                <w:lang w:val="pl-PL"/>
              </w:rPr>
              <w:br/>
              <w:t xml:space="preserve">16 </w:t>
            </w:r>
            <w:proofErr w:type="spellStart"/>
            <w:r w:rsidR="005A0213">
              <w:rPr>
                <w:rFonts w:asciiTheme="majorHAnsi" w:hAnsiTheme="majorHAnsi" w:cstheme="majorHAnsi"/>
                <w:color w:val="000000" w:themeColor="text1"/>
                <w:sz w:val="24"/>
                <w:szCs w:val="24"/>
                <w:lang w:val="pl-PL"/>
              </w:rPr>
              <w:t>G</w:t>
            </w:r>
            <w:r w:rsidRPr="00F4000D">
              <w:rPr>
                <w:rFonts w:asciiTheme="majorHAnsi" w:hAnsiTheme="majorHAnsi" w:cstheme="majorHAnsi"/>
                <w:color w:val="000000" w:themeColor="text1"/>
                <w:sz w:val="24"/>
                <w:szCs w:val="24"/>
                <w:lang w:val="pl-PL"/>
              </w:rPr>
              <w:t>b</w:t>
            </w:r>
            <w:proofErr w:type="spellEnd"/>
            <w:r w:rsidRPr="00F4000D">
              <w:rPr>
                <w:rFonts w:asciiTheme="majorHAnsi" w:hAnsiTheme="majorHAnsi" w:cstheme="majorHAnsi"/>
                <w:color w:val="000000" w:themeColor="text1"/>
                <w:sz w:val="24"/>
                <w:szCs w:val="24"/>
                <w:lang w:val="pl-PL"/>
              </w:rPr>
              <w:t xml:space="preserve"> </w:t>
            </w:r>
            <w:r w:rsidR="005A0213">
              <w:rPr>
                <w:rFonts w:asciiTheme="majorHAnsi" w:hAnsiTheme="majorHAnsi" w:cstheme="majorHAnsi"/>
                <w:color w:val="000000" w:themeColor="text1"/>
                <w:sz w:val="24"/>
                <w:szCs w:val="24"/>
                <w:lang w:val="pl-PL"/>
              </w:rPr>
              <w:t>RAM</w:t>
            </w:r>
            <w:r w:rsidRPr="00F4000D">
              <w:rPr>
                <w:rFonts w:asciiTheme="majorHAnsi" w:hAnsiTheme="majorHAnsi" w:cstheme="majorHAnsi"/>
                <w:color w:val="000000" w:themeColor="text1"/>
                <w:sz w:val="24"/>
                <w:szCs w:val="24"/>
                <w:lang w:val="pl-PL"/>
              </w:rPr>
              <w:br/>
              <w:t xml:space="preserve">System operacyjny </w:t>
            </w:r>
            <w:r w:rsidR="005A0213">
              <w:rPr>
                <w:rFonts w:asciiTheme="majorHAnsi" w:hAnsiTheme="majorHAnsi" w:cstheme="majorHAnsi"/>
                <w:color w:val="000000" w:themeColor="text1"/>
                <w:sz w:val="24"/>
                <w:szCs w:val="24"/>
                <w:lang w:val="pl-PL"/>
              </w:rPr>
              <w:t>W</w:t>
            </w:r>
            <w:r w:rsidRPr="00F4000D">
              <w:rPr>
                <w:rFonts w:asciiTheme="majorHAnsi" w:hAnsiTheme="majorHAnsi" w:cstheme="majorHAnsi"/>
                <w:color w:val="000000" w:themeColor="text1"/>
                <w:sz w:val="24"/>
                <w:szCs w:val="24"/>
                <w:lang w:val="pl-PL"/>
              </w:rPr>
              <w:t>indows 11 pro (lub równoważny)</w:t>
            </w:r>
            <w:r w:rsidRPr="00F4000D">
              <w:rPr>
                <w:rFonts w:asciiTheme="majorHAnsi" w:hAnsiTheme="majorHAnsi" w:cstheme="majorHAnsi"/>
                <w:color w:val="000000" w:themeColor="text1"/>
                <w:sz w:val="24"/>
                <w:szCs w:val="24"/>
                <w:lang w:val="pl-PL"/>
              </w:rPr>
              <w:br/>
              <w:t>Ekran o przekątnej 15.6" rozdzielczość Full HD(1920x1080p)</w:t>
            </w:r>
            <w:r w:rsidRPr="00F4000D">
              <w:rPr>
                <w:rFonts w:asciiTheme="majorHAnsi" w:hAnsiTheme="majorHAnsi" w:cstheme="majorHAnsi"/>
                <w:color w:val="000000" w:themeColor="text1"/>
                <w:sz w:val="24"/>
                <w:szCs w:val="24"/>
                <w:lang w:val="pl-PL"/>
              </w:rPr>
              <w:br/>
              <w:t xml:space="preserve">Fizyczne </w:t>
            </w:r>
            <w:proofErr w:type="spellStart"/>
            <w:r w:rsidRPr="00F4000D">
              <w:rPr>
                <w:rFonts w:asciiTheme="majorHAnsi" w:hAnsiTheme="majorHAnsi" w:cstheme="majorHAnsi"/>
                <w:color w:val="000000" w:themeColor="text1"/>
                <w:sz w:val="24"/>
                <w:szCs w:val="24"/>
                <w:lang w:val="pl-PL"/>
              </w:rPr>
              <w:t>złacza</w:t>
            </w:r>
            <w:proofErr w:type="spellEnd"/>
            <w:r w:rsidRPr="00F4000D">
              <w:rPr>
                <w:rFonts w:asciiTheme="majorHAnsi" w:hAnsiTheme="majorHAnsi" w:cstheme="majorHAnsi"/>
                <w:color w:val="000000" w:themeColor="text1"/>
                <w:sz w:val="24"/>
                <w:szCs w:val="24"/>
                <w:lang w:val="pl-PL"/>
              </w:rPr>
              <w:t xml:space="preserve"> RJ45,3x USB typ A,1x USB C, </w:t>
            </w:r>
            <w:proofErr w:type="spellStart"/>
            <w:r w:rsidRPr="00F4000D">
              <w:rPr>
                <w:rFonts w:asciiTheme="majorHAnsi" w:hAnsiTheme="majorHAnsi" w:cstheme="majorHAnsi"/>
                <w:color w:val="000000" w:themeColor="text1"/>
                <w:sz w:val="24"/>
                <w:szCs w:val="24"/>
                <w:lang w:val="pl-PL"/>
              </w:rPr>
              <w:t>Złacze</w:t>
            </w:r>
            <w:proofErr w:type="spellEnd"/>
            <w:r w:rsidRPr="00F4000D">
              <w:rPr>
                <w:rFonts w:asciiTheme="majorHAnsi" w:hAnsiTheme="majorHAnsi" w:cstheme="majorHAnsi"/>
                <w:color w:val="000000" w:themeColor="text1"/>
                <w:sz w:val="24"/>
                <w:szCs w:val="24"/>
                <w:lang w:val="pl-PL"/>
              </w:rPr>
              <w:t xml:space="preserve"> HDMI</w:t>
            </w:r>
            <w:r w:rsidRPr="00F4000D">
              <w:rPr>
                <w:rFonts w:asciiTheme="majorHAnsi" w:hAnsiTheme="majorHAnsi" w:cstheme="majorHAnsi"/>
                <w:color w:val="000000" w:themeColor="text1"/>
                <w:sz w:val="24"/>
                <w:szCs w:val="24"/>
                <w:lang w:val="pl-PL"/>
              </w:rPr>
              <w:br/>
              <w:t xml:space="preserve">Dysk SSD M2 </w:t>
            </w:r>
            <w:proofErr w:type="spellStart"/>
            <w:r w:rsidRPr="00F4000D">
              <w:rPr>
                <w:rFonts w:asciiTheme="majorHAnsi" w:hAnsiTheme="majorHAnsi" w:cstheme="majorHAnsi"/>
                <w:color w:val="000000" w:themeColor="text1"/>
                <w:sz w:val="24"/>
                <w:szCs w:val="24"/>
                <w:lang w:val="pl-PL"/>
              </w:rPr>
              <w:t>NVMe</w:t>
            </w:r>
            <w:proofErr w:type="spellEnd"/>
            <w:r w:rsidRPr="00F4000D">
              <w:rPr>
                <w:rFonts w:asciiTheme="majorHAnsi" w:hAnsiTheme="majorHAnsi" w:cstheme="majorHAnsi"/>
                <w:color w:val="000000" w:themeColor="text1"/>
                <w:sz w:val="24"/>
                <w:szCs w:val="24"/>
                <w:lang w:val="pl-PL"/>
              </w:rPr>
              <w:t xml:space="preserve"> 512</w:t>
            </w:r>
            <w:r w:rsidR="005A0213">
              <w:rPr>
                <w:rFonts w:asciiTheme="majorHAnsi" w:hAnsiTheme="majorHAnsi" w:cstheme="majorHAnsi"/>
                <w:color w:val="000000" w:themeColor="text1"/>
                <w:sz w:val="24"/>
                <w:szCs w:val="24"/>
                <w:lang w:val="pl-PL"/>
              </w:rPr>
              <w:t>G</w:t>
            </w:r>
            <w:r w:rsidRPr="00F4000D">
              <w:rPr>
                <w:rFonts w:asciiTheme="majorHAnsi" w:hAnsiTheme="majorHAnsi" w:cstheme="majorHAnsi"/>
                <w:color w:val="000000" w:themeColor="text1"/>
                <w:sz w:val="24"/>
                <w:szCs w:val="24"/>
                <w:lang w:val="pl-PL"/>
              </w:rPr>
              <w:t>b</w:t>
            </w:r>
          </w:p>
        </w:tc>
      </w:tr>
      <w:tr w:rsidR="0055541E" w:rsidRPr="00F4000D" w14:paraId="79C628BC" w14:textId="77777777" w:rsidTr="00F4000D">
        <w:trPr>
          <w:jc w:val="center"/>
        </w:trPr>
        <w:tc>
          <w:tcPr>
            <w:tcW w:w="809" w:type="dxa"/>
          </w:tcPr>
          <w:p w14:paraId="540FF16F" w14:textId="2FE2174B" w:rsidR="00372C08" w:rsidRPr="00F4000D" w:rsidRDefault="002705B9" w:rsidP="00F4000D">
            <w:pPr>
              <w:jc w:val="both"/>
              <w:rPr>
                <w:rFonts w:asciiTheme="majorHAnsi" w:hAnsiTheme="majorHAnsi" w:cstheme="majorHAnsi"/>
                <w:color w:val="000000" w:themeColor="text1"/>
                <w:sz w:val="24"/>
                <w:szCs w:val="24"/>
                <w:lang w:val="pl-PL"/>
              </w:rPr>
            </w:pPr>
            <w:r>
              <w:rPr>
                <w:rFonts w:asciiTheme="majorHAnsi" w:hAnsiTheme="majorHAnsi" w:cstheme="majorHAnsi"/>
                <w:color w:val="000000" w:themeColor="text1"/>
                <w:sz w:val="24"/>
                <w:szCs w:val="24"/>
                <w:lang w:val="pl-PL"/>
              </w:rPr>
              <w:t>7</w:t>
            </w:r>
          </w:p>
        </w:tc>
        <w:tc>
          <w:tcPr>
            <w:tcW w:w="3427" w:type="dxa"/>
          </w:tcPr>
          <w:p w14:paraId="02AE23EB"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Podstawa mobilna do monitorów interaktywnych</w:t>
            </w:r>
          </w:p>
        </w:tc>
        <w:tc>
          <w:tcPr>
            <w:tcW w:w="843" w:type="dxa"/>
          </w:tcPr>
          <w:p w14:paraId="6DA493C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563" w:type="dxa"/>
          </w:tcPr>
          <w:p w14:paraId="5DC56BD1" w14:textId="30F7584C"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Kolor czarny. Możliwość zamontowania monitora na 3 wysokościach: 138, 147 i 156 cm. Podstawa pasuje do monitorów 65".</w:t>
            </w:r>
            <w:r w:rsidRPr="00F4000D">
              <w:rPr>
                <w:rFonts w:asciiTheme="majorHAnsi" w:hAnsiTheme="majorHAnsi" w:cstheme="majorHAnsi"/>
                <w:color w:val="000000" w:themeColor="text1"/>
                <w:sz w:val="24"/>
                <w:szCs w:val="24"/>
                <w:lang w:val="pl-PL"/>
              </w:rPr>
              <w:br/>
              <w:t>• wym. 110 x 60 x 161 cm</w:t>
            </w:r>
          </w:p>
        </w:tc>
      </w:tr>
    </w:tbl>
    <w:p w14:paraId="1D2834E3" w14:textId="77777777" w:rsidR="00372C08" w:rsidRPr="00F4000D" w:rsidRDefault="00372C08" w:rsidP="00F4000D">
      <w:pPr>
        <w:jc w:val="both"/>
        <w:rPr>
          <w:rFonts w:asciiTheme="majorHAnsi" w:hAnsiTheme="majorHAnsi" w:cstheme="majorHAnsi"/>
          <w:color w:val="000000" w:themeColor="text1"/>
          <w:sz w:val="24"/>
          <w:szCs w:val="24"/>
          <w:lang w:val="pl-PL"/>
        </w:rPr>
      </w:pPr>
    </w:p>
    <w:p w14:paraId="2A819ED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br w:type="page"/>
      </w:r>
    </w:p>
    <w:p w14:paraId="49B8592E" w14:textId="77777777" w:rsidR="00372C08" w:rsidRPr="00F4000D" w:rsidRDefault="000B756A" w:rsidP="00F4000D">
      <w:pPr>
        <w:pStyle w:val="Nagwek2"/>
        <w:jc w:val="both"/>
        <w:rPr>
          <w:rFonts w:cstheme="majorHAnsi"/>
          <w:b w:val="0"/>
          <w:bCs w:val="0"/>
          <w:color w:val="000000" w:themeColor="text1"/>
          <w:sz w:val="24"/>
          <w:szCs w:val="24"/>
          <w:lang w:val="pl-PL"/>
        </w:rPr>
      </w:pPr>
      <w:r w:rsidRPr="00F4000D">
        <w:rPr>
          <w:rFonts w:cstheme="majorHAnsi"/>
          <w:b w:val="0"/>
          <w:bCs w:val="0"/>
          <w:color w:val="000000" w:themeColor="text1"/>
          <w:sz w:val="24"/>
          <w:szCs w:val="24"/>
          <w:lang w:val="pl-PL"/>
        </w:rPr>
        <w:lastRenderedPageBreak/>
        <w:t>Część 4 meble</w:t>
      </w:r>
    </w:p>
    <w:tbl>
      <w:tblPr>
        <w:tblStyle w:val="Tabela-Siatka"/>
        <w:tblW w:w="0" w:type="auto"/>
        <w:jc w:val="center"/>
        <w:tblLook w:val="04A0" w:firstRow="1" w:lastRow="0" w:firstColumn="1" w:lastColumn="0" w:noHBand="0" w:noVBand="1"/>
      </w:tblPr>
      <w:tblGrid>
        <w:gridCol w:w="706"/>
        <w:gridCol w:w="3667"/>
        <w:gridCol w:w="895"/>
        <w:gridCol w:w="4613"/>
      </w:tblGrid>
      <w:tr w:rsidR="0055541E" w:rsidRPr="00F4000D" w14:paraId="718D58CD" w14:textId="77777777" w:rsidTr="005A0213">
        <w:trPr>
          <w:jc w:val="center"/>
        </w:trPr>
        <w:tc>
          <w:tcPr>
            <w:tcW w:w="706" w:type="dxa"/>
          </w:tcPr>
          <w:p w14:paraId="40420BD5"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L.p.</w:t>
            </w:r>
          </w:p>
        </w:tc>
        <w:tc>
          <w:tcPr>
            <w:tcW w:w="3667" w:type="dxa"/>
          </w:tcPr>
          <w:p w14:paraId="40CCC73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Nazwa produktu</w:t>
            </w:r>
          </w:p>
        </w:tc>
        <w:tc>
          <w:tcPr>
            <w:tcW w:w="895" w:type="dxa"/>
          </w:tcPr>
          <w:p w14:paraId="0B0364D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Ilość</w:t>
            </w:r>
          </w:p>
        </w:tc>
        <w:tc>
          <w:tcPr>
            <w:tcW w:w="4613" w:type="dxa"/>
          </w:tcPr>
          <w:p w14:paraId="1C40807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Opis / minimalne wymagania</w:t>
            </w:r>
          </w:p>
        </w:tc>
      </w:tr>
      <w:tr w:rsidR="0055541E" w:rsidRPr="00F4000D" w14:paraId="45A9A3C2" w14:textId="77777777" w:rsidTr="005A0213">
        <w:trPr>
          <w:jc w:val="center"/>
        </w:trPr>
        <w:tc>
          <w:tcPr>
            <w:tcW w:w="706" w:type="dxa"/>
          </w:tcPr>
          <w:p w14:paraId="5694AF2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3667" w:type="dxa"/>
          </w:tcPr>
          <w:p w14:paraId="2111312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Gablota szklana</w:t>
            </w:r>
          </w:p>
        </w:tc>
        <w:tc>
          <w:tcPr>
            <w:tcW w:w="895" w:type="dxa"/>
          </w:tcPr>
          <w:p w14:paraId="2B9897C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613" w:type="dxa"/>
          </w:tcPr>
          <w:p w14:paraId="1802FCD1" w14:textId="252E3B11"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Gablota z przesuwanymi drzwiami ze szkła.</w:t>
            </w:r>
            <w:r w:rsidRPr="00F4000D">
              <w:rPr>
                <w:rFonts w:asciiTheme="majorHAnsi" w:hAnsiTheme="majorHAnsi" w:cstheme="majorHAnsi"/>
                <w:color w:val="000000" w:themeColor="text1"/>
                <w:sz w:val="24"/>
                <w:szCs w:val="24"/>
                <w:lang w:val="pl-PL"/>
              </w:rPr>
              <w:br/>
              <w:t>Minimalne wymiary zewnętrzne: 95 cm wysokość x 130 cm szerokość x 5 cm głębokość</w:t>
            </w:r>
            <w:r w:rsidR="00982048">
              <w:rPr>
                <w:rFonts w:asciiTheme="majorHAnsi" w:hAnsiTheme="majorHAnsi" w:cstheme="majorHAnsi"/>
                <w:color w:val="000000" w:themeColor="text1"/>
                <w:sz w:val="24"/>
                <w:szCs w:val="24"/>
                <w:lang w:val="pl-PL"/>
              </w:rPr>
              <w:t>.</w:t>
            </w:r>
          </w:p>
        </w:tc>
      </w:tr>
      <w:tr w:rsidR="0055541E" w:rsidRPr="00F4000D" w14:paraId="26FF3D71" w14:textId="77777777" w:rsidTr="005A0213">
        <w:trPr>
          <w:jc w:val="center"/>
        </w:trPr>
        <w:tc>
          <w:tcPr>
            <w:tcW w:w="706" w:type="dxa"/>
          </w:tcPr>
          <w:p w14:paraId="17FC2E6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3667" w:type="dxa"/>
          </w:tcPr>
          <w:p w14:paraId="408D18F5"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Ściana </w:t>
            </w:r>
            <w:proofErr w:type="spellStart"/>
            <w:r w:rsidRPr="00F4000D">
              <w:rPr>
                <w:rFonts w:asciiTheme="majorHAnsi" w:hAnsiTheme="majorHAnsi" w:cstheme="majorHAnsi"/>
                <w:color w:val="000000" w:themeColor="text1"/>
                <w:sz w:val="24"/>
                <w:szCs w:val="24"/>
                <w:lang w:val="pl-PL"/>
              </w:rPr>
              <w:t>moderacyjna</w:t>
            </w:r>
            <w:proofErr w:type="spellEnd"/>
            <w:r w:rsidRPr="00F4000D">
              <w:rPr>
                <w:rFonts w:asciiTheme="majorHAnsi" w:hAnsiTheme="majorHAnsi" w:cstheme="majorHAnsi"/>
                <w:color w:val="000000" w:themeColor="text1"/>
                <w:sz w:val="24"/>
                <w:szCs w:val="24"/>
                <w:lang w:val="pl-PL"/>
              </w:rPr>
              <w:t xml:space="preserve"> modułowa (dwa moduły)</w:t>
            </w:r>
          </w:p>
        </w:tc>
        <w:tc>
          <w:tcPr>
            <w:tcW w:w="895" w:type="dxa"/>
          </w:tcPr>
          <w:p w14:paraId="00034C4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4613" w:type="dxa"/>
          </w:tcPr>
          <w:p w14:paraId="19929232" w14:textId="799CD2C4"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Dwustronna, modułowa ścianka </w:t>
            </w:r>
            <w:proofErr w:type="spellStart"/>
            <w:r w:rsidRPr="00F4000D">
              <w:rPr>
                <w:rFonts w:asciiTheme="majorHAnsi" w:hAnsiTheme="majorHAnsi" w:cstheme="majorHAnsi"/>
                <w:color w:val="000000" w:themeColor="text1"/>
                <w:sz w:val="24"/>
                <w:szCs w:val="24"/>
                <w:lang w:val="pl-PL"/>
              </w:rPr>
              <w:t>moderacyjna</w:t>
            </w:r>
            <w:proofErr w:type="spellEnd"/>
            <w:r w:rsidRPr="00F4000D">
              <w:rPr>
                <w:rFonts w:asciiTheme="majorHAnsi" w:hAnsiTheme="majorHAnsi" w:cstheme="majorHAnsi"/>
                <w:color w:val="000000" w:themeColor="text1"/>
                <w:sz w:val="24"/>
                <w:szCs w:val="24"/>
                <w:lang w:val="pl-PL"/>
              </w:rPr>
              <w:t xml:space="preserve"> z tablicą o powierzchni tekstylnej, wyposażona  w kółka do łatwiejszego przemieszczania. Składa się z dwóch modułów, które można  rozdzielić.</w:t>
            </w:r>
            <w:r w:rsidRPr="00F4000D">
              <w:rPr>
                <w:rFonts w:asciiTheme="majorHAnsi" w:hAnsiTheme="majorHAnsi" w:cstheme="majorHAnsi"/>
                <w:color w:val="000000" w:themeColor="text1"/>
                <w:sz w:val="24"/>
                <w:szCs w:val="24"/>
                <w:lang w:val="pl-PL"/>
              </w:rPr>
              <w:br/>
              <w:t>Wymiary minimalne jednego modułu:</w:t>
            </w:r>
            <w:r w:rsidRPr="00F4000D">
              <w:rPr>
                <w:rFonts w:asciiTheme="majorHAnsi" w:hAnsiTheme="majorHAnsi" w:cstheme="majorHAnsi"/>
                <w:color w:val="000000" w:themeColor="text1"/>
                <w:sz w:val="24"/>
                <w:szCs w:val="24"/>
                <w:lang w:val="pl-PL"/>
              </w:rPr>
              <w:br/>
              <w:t>100 cm szerokość tablicy x 150 cm wysokość tablicy, 190 cm łączna wysokość tablicy z nóżkami</w:t>
            </w:r>
            <w:r w:rsidR="00982048">
              <w:rPr>
                <w:rFonts w:asciiTheme="majorHAnsi" w:hAnsiTheme="majorHAnsi" w:cstheme="majorHAnsi"/>
                <w:color w:val="000000" w:themeColor="text1"/>
                <w:sz w:val="24"/>
                <w:szCs w:val="24"/>
                <w:lang w:val="pl-PL"/>
              </w:rPr>
              <w:t>.</w:t>
            </w:r>
          </w:p>
        </w:tc>
      </w:tr>
    </w:tbl>
    <w:p w14:paraId="28E4DEFE" w14:textId="77777777" w:rsidR="00372C08" w:rsidRPr="00F4000D" w:rsidRDefault="00372C08" w:rsidP="00F4000D">
      <w:pPr>
        <w:jc w:val="both"/>
        <w:rPr>
          <w:rFonts w:asciiTheme="majorHAnsi" w:hAnsiTheme="majorHAnsi" w:cstheme="majorHAnsi"/>
          <w:color w:val="000000" w:themeColor="text1"/>
          <w:sz w:val="24"/>
          <w:szCs w:val="24"/>
          <w:lang w:val="pl-PL"/>
        </w:rPr>
      </w:pPr>
    </w:p>
    <w:p w14:paraId="6F4B722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br w:type="page"/>
      </w:r>
    </w:p>
    <w:p w14:paraId="3C66ADF0" w14:textId="77777777" w:rsidR="00372C08" w:rsidRPr="00F4000D" w:rsidRDefault="000B756A" w:rsidP="00F4000D">
      <w:pPr>
        <w:pStyle w:val="Nagwek2"/>
        <w:jc w:val="both"/>
        <w:rPr>
          <w:rFonts w:cstheme="majorHAnsi"/>
          <w:b w:val="0"/>
          <w:bCs w:val="0"/>
          <w:color w:val="000000" w:themeColor="text1"/>
          <w:sz w:val="24"/>
          <w:szCs w:val="24"/>
          <w:lang w:val="pl-PL"/>
        </w:rPr>
      </w:pPr>
      <w:r w:rsidRPr="00F4000D">
        <w:rPr>
          <w:rFonts w:cstheme="majorHAnsi"/>
          <w:b w:val="0"/>
          <w:bCs w:val="0"/>
          <w:color w:val="000000" w:themeColor="text1"/>
          <w:sz w:val="24"/>
          <w:szCs w:val="24"/>
          <w:lang w:val="pl-PL"/>
        </w:rPr>
        <w:lastRenderedPageBreak/>
        <w:t>Część 5 instrumenty muzyczne</w:t>
      </w:r>
    </w:p>
    <w:tbl>
      <w:tblPr>
        <w:tblStyle w:val="Tabela-Siatka"/>
        <w:tblW w:w="0" w:type="auto"/>
        <w:jc w:val="center"/>
        <w:tblLook w:val="04A0" w:firstRow="1" w:lastRow="0" w:firstColumn="1" w:lastColumn="0" w:noHBand="0" w:noVBand="1"/>
      </w:tblPr>
      <w:tblGrid>
        <w:gridCol w:w="606"/>
        <w:gridCol w:w="3051"/>
        <w:gridCol w:w="871"/>
        <w:gridCol w:w="5167"/>
      </w:tblGrid>
      <w:tr w:rsidR="0055541E" w:rsidRPr="00F4000D" w14:paraId="19F06D4C" w14:textId="77777777" w:rsidTr="005A0213">
        <w:trPr>
          <w:jc w:val="center"/>
        </w:trPr>
        <w:tc>
          <w:tcPr>
            <w:tcW w:w="606" w:type="dxa"/>
          </w:tcPr>
          <w:p w14:paraId="4A2BA86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L.p.</w:t>
            </w:r>
          </w:p>
        </w:tc>
        <w:tc>
          <w:tcPr>
            <w:tcW w:w="3051" w:type="dxa"/>
          </w:tcPr>
          <w:p w14:paraId="07E76310"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Nazwa produktu</w:t>
            </w:r>
          </w:p>
        </w:tc>
        <w:tc>
          <w:tcPr>
            <w:tcW w:w="871" w:type="dxa"/>
          </w:tcPr>
          <w:p w14:paraId="52D01DC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Ilość</w:t>
            </w:r>
          </w:p>
        </w:tc>
        <w:tc>
          <w:tcPr>
            <w:tcW w:w="5167" w:type="dxa"/>
          </w:tcPr>
          <w:p w14:paraId="15132147"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Opis / minimalne wymagania</w:t>
            </w:r>
          </w:p>
        </w:tc>
      </w:tr>
      <w:tr w:rsidR="0055541E" w:rsidRPr="00F4000D" w14:paraId="200DEFA3" w14:textId="77777777" w:rsidTr="005A0213">
        <w:trPr>
          <w:jc w:val="center"/>
        </w:trPr>
        <w:tc>
          <w:tcPr>
            <w:tcW w:w="606" w:type="dxa"/>
          </w:tcPr>
          <w:p w14:paraId="379DC18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3051" w:type="dxa"/>
          </w:tcPr>
          <w:p w14:paraId="3A16CF8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Orffa instrumentów perkusyjnych </w:t>
            </w:r>
            <w:proofErr w:type="spellStart"/>
            <w:r w:rsidRPr="00F4000D">
              <w:rPr>
                <w:rFonts w:asciiTheme="majorHAnsi" w:hAnsiTheme="majorHAnsi" w:cstheme="majorHAnsi"/>
                <w:color w:val="000000" w:themeColor="text1"/>
                <w:sz w:val="24"/>
                <w:szCs w:val="24"/>
                <w:lang w:val="pl-PL"/>
              </w:rPr>
              <w:t>Ever</w:t>
            </w:r>
            <w:proofErr w:type="spellEnd"/>
            <w:r w:rsidRPr="00F4000D">
              <w:rPr>
                <w:rFonts w:asciiTheme="majorHAnsi" w:hAnsiTheme="majorHAnsi" w:cstheme="majorHAnsi"/>
                <w:color w:val="000000" w:themeColor="text1"/>
                <w:sz w:val="24"/>
                <w:szCs w:val="24"/>
                <w:lang w:val="pl-PL"/>
              </w:rPr>
              <w:t xml:space="preserve"> Play LT-17</w:t>
            </w:r>
          </w:p>
        </w:tc>
        <w:tc>
          <w:tcPr>
            <w:tcW w:w="871" w:type="dxa"/>
          </w:tcPr>
          <w:p w14:paraId="18246CA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167" w:type="dxa"/>
          </w:tcPr>
          <w:p w14:paraId="454FA5D8" w14:textId="77777777" w:rsidR="00982048"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W skład zestawu wchodzą różnorodne instrumenty perkusyjne, które umożliwiają tworzenie bogatych rytmicznie kompozycji. Zestaw zawiera: tamburyn drewniany, tamburyn drewniany z membraną, </w:t>
            </w:r>
            <w:proofErr w:type="spellStart"/>
            <w:r w:rsidRPr="00F4000D">
              <w:rPr>
                <w:rFonts w:asciiTheme="majorHAnsi" w:hAnsiTheme="majorHAnsi" w:cstheme="majorHAnsi"/>
                <w:color w:val="000000" w:themeColor="text1"/>
                <w:sz w:val="24"/>
                <w:szCs w:val="24"/>
                <w:lang w:val="pl-PL"/>
              </w:rPr>
              <w:t>klawesy</w:t>
            </w:r>
            <w:proofErr w:type="spellEnd"/>
            <w:r w:rsidRPr="00F4000D">
              <w:rPr>
                <w:rFonts w:asciiTheme="majorHAnsi" w:hAnsiTheme="majorHAnsi" w:cstheme="majorHAnsi"/>
                <w:color w:val="000000" w:themeColor="text1"/>
                <w:sz w:val="24"/>
                <w:szCs w:val="24"/>
                <w:lang w:val="pl-PL"/>
              </w:rPr>
              <w:t xml:space="preserve">, kastaniety na trzonku, kastaniety hiszpańskie, marakasy drewniane, duże guiro, guiro podwójne, </w:t>
            </w:r>
            <w:proofErr w:type="spellStart"/>
            <w:r w:rsidRPr="00F4000D">
              <w:rPr>
                <w:rFonts w:asciiTheme="majorHAnsi" w:hAnsiTheme="majorHAnsi" w:cstheme="majorHAnsi"/>
                <w:color w:val="000000" w:themeColor="text1"/>
                <w:sz w:val="24"/>
                <w:szCs w:val="24"/>
                <w:lang w:val="pl-PL"/>
              </w:rPr>
              <w:t>agogo</w:t>
            </w:r>
            <w:proofErr w:type="spellEnd"/>
            <w:r w:rsidRPr="00F4000D">
              <w:rPr>
                <w:rFonts w:asciiTheme="majorHAnsi" w:hAnsiTheme="majorHAnsi" w:cstheme="majorHAnsi"/>
                <w:color w:val="000000" w:themeColor="text1"/>
                <w:sz w:val="24"/>
                <w:szCs w:val="24"/>
                <w:lang w:val="pl-PL"/>
              </w:rPr>
              <w:t xml:space="preserve"> potrójne, shaker oraz pięć trójkątów w różnych rozmiarach. Tak szeroka gama instrumentów sprawia, że zestaw idealnie sprawdzi się zarówno podczas zajęć grupowych, jak i indywidualnych lekcji muzyki.</w:t>
            </w:r>
            <w:r w:rsidRPr="00F4000D">
              <w:rPr>
                <w:rFonts w:asciiTheme="majorHAnsi" w:hAnsiTheme="majorHAnsi" w:cstheme="majorHAnsi"/>
                <w:color w:val="000000" w:themeColor="text1"/>
                <w:sz w:val="24"/>
                <w:szCs w:val="24"/>
                <w:lang w:val="pl-PL"/>
              </w:rPr>
              <w:br/>
              <w:t>Specyfikacja:</w:t>
            </w:r>
            <w:r w:rsidRPr="00F4000D">
              <w:rPr>
                <w:rFonts w:asciiTheme="majorHAnsi" w:hAnsiTheme="majorHAnsi" w:cstheme="majorHAnsi"/>
                <w:color w:val="000000" w:themeColor="text1"/>
                <w:sz w:val="24"/>
                <w:szCs w:val="24"/>
                <w:lang w:val="pl-PL"/>
              </w:rPr>
              <w:br/>
            </w:r>
            <w:r w:rsidR="00982048">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Tamburyn drewniany</w:t>
            </w:r>
            <w:r w:rsidRPr="00F4000D">
              <w:rPr>
                <w:rFonts w:asciiTheme="majorHAnsi" w:hAnsiTheme="majorHAnsi" w:cstheme="majorHAnsi"/>
                <w:color w:val="000000" w:themeColor="text1"/>
                <w:sz w:val="24"/>
                <w:szCs w:val="24"/>
                <w:lang w:val="pl-PL"/>
              </w:rPr>
              <w:br/>
            </w:r>
            <w:r w:rsidR="00982048">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Tamburyn drewniany z membraną</w:t>
            </w:r>
            <w:r w:rsidRPr="00F4000D">
              <w:rPr>
                <w:rFonts w:asciiTheme="majorHAnsi" w:hAnsiTheme="majorHAnsi" w:cstheme="majorHAnsi"/>
                <w:color w:val="000000" w:themeColor="text1"/>
                <w:sz w:val="24"/>
                <w:szCs w:val="24"/>
                <w:lang w:val="pl-PL"/>
              </w:rPr>
              <w:br/>
            </w:r>
            <w:r w:rsidR="00982048">
              <w:rPr>
                <w:rFonts w:asciiTheme="majorHAnsi" w:hAnsiTheme="majorHAnsi" w:cstheme="majorHAnsi"/>
                <w:color w:val="000000" w:themeColor="text1"/>
                <w:sz w:val="24"/>
                <w:szCs w:val="24"/>
                <w:lang w:val="pl-PL"/>
              </w:rPr>
              <w:t xml:space="preserve">- </w:t>
            </w:r>
            <w:proofErr w:type="spellStart"/>
            <w:r w:rsidRPr="00F4000D">
              <w:rPr>
                <w:rFonts w:asciiTheme="majorHAnsi" w:hAnsiTheme="majorHAnsi" w:cstheme="majorHAnsi"/>
                <w:color w:val="000000" w:themeColor="text1"/>
                <w:sz w:val="24"/>
                <w:szCs w:val="24"/>
                <w:lang w:val="pl-PL"/>
              </w:rPr>
              <w:t>Klawesy</w:t>
            </w:r>
            <w:proofErr w:type="spellEnd"/>
            <w:r w:rsidRPr="00F4000D">
              <w:rPr>
                <w:rFonts w:asciiTheme="majorHAnsi" w:hAnsiTheme="majorHAnsi" w:cstheme="majorHAnsi"/>
                <w:color w:val="000000" w:themeColor="text1"/>
                <w:sz w:val="24"/>
                <w:szCs w:val="24"/>
                <w:lang w:val="pl-PL"/>
              </w:rPr>
              <w:br/>
            </w:r>
            <w:r w:rsidR="00982048">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Kastaniety na trzonku</w:t>
            </w:r>
            <w:r w:rsidRPr="00F4000D">
              <w:rPr>
                <w:rFonts w:asciiTheme="majorHAnsi" w:hAnsiTheme="majorHAnsi" w:cstheme="majorHAnsi"/>
                <w:color w:val="000000" w:themeColor="text1"/>
                <w:sz w:val="24"/>
                <w:szCs w:val="24"/>
                <w:lang w:val="pl-PL"/>
              </w:rPr>
              <w:br/>
            </w:r>
            <w:r w:rsidR="00982048">
              <w:rPr>
                <w:rFonts w:asciiTheme="majorHAnsi" w:hAnsiTheme="majorHAnsi" w:cstheme="majorHAnsi"/>
                <w:color w:val="000000" w:themeColor="text1"/>
                <w:sz w:val="24"/>
                <w:szCs w:val="24"/>
                <w:lang w:val="pl-PL"/>
              </w:rPr>
              <w:t xml:space="preserve">- </w:t>
            </w:r>
            <w:r w:rsidRPr="00F4000D">
              <w:rPr>
                <w:rFonts w:asciiTheme="majorHAnsi" w:hAnsiTheme="majorHAnsi" w:cstheme="majorHAnsi"/>
                <w:color w:val="000000" w:themeColor="text1"/>
                <w:sz w:val="24"/>
                <w:szCs w:val="24"/>
                <w:lang w:val="pl-PL"/>
              </w:rPr>
              <w:t>Kastaniety hiszpańskie</w:t>
            </w:r>
          </w:p>
          <w:p w14:paraId="0A566D8C" w14:textId="77777777" w:rsidR="00982048" w:rsidRDefault="00982048" w:rsidP="005A0213">
            <w:pPr>
              <w:rPr>
                <w:rFonts w:asciiTheme="majorHAnsi" w:hAnsiTheme="majorHAnsi" w:cstheme="majorHAnsi"/>
                <w:color w:val="000000" w:themeColor="text1"/>
                <w:sz w:val="24"/>
                <w:szCs w:val="24"/>
                <w:lang w:val="pl-PL"/>
              </w:rPr>
            </w:pPr>
            <w:r>
              <w:rPr>
                <w:rFonts w:asciiTheme="majorHAnsi" w:hAnsiTheme="majorHAnsi" w:cstheme="majorHAnsi"/>
                <w:color w:val="000000" w:themeColor="text1"/>
                <w:sz w:val="24"/>
                <w:szCs w:val="24"/>
                <w:lang w:val="pl-PL"/>
              </w:rPr>
              <w:t xml:space="preserve">- </w:t>
            </w:r>
            <w:r w:rsidR="000B756A" w:rsidRPr="00F4000D">
              <w:rPr>
                <w:rFonts w:asciiTheme="majorHAnsi" w:hAnsiTheme="majorHAnsi" w:cstheme="majorHAnsi"/>
                <w:color w:val="000000" w:themeColor="text1"/>
                <w:sz w:val="24"/>
                <w:szCs w:val="24"/>
                <w:lang w:val="pl-PL"/>
              </w:rPr>
              <w:t>Marakasy drewniane</w:t>
            </w:r>
            <w:r w:rsidR="000B756A" w:rsidRPr="00F4000D">
              <w:rPr>
                <w:rFonts w:asciiTheme="majorHAnsi" w:hAnsiTheme="majorHAnsi" w:cstheme="majorHAnsi"/>
                <w:color w:val="000000" w:themeColor="text1"/>
                <w:sz w:val="24"/>
                <w:szCs w:val="24"/>
                <w:lang w:val="pl-PL"/>
              </w:rPr>
              <w:br/>
            </w:r>
            <w:r>
              <w:rPr>
                <w:rFonts w:asciiTheme="majorHAnsi" w:hAnsiTheme="majorHAnsi" w:cstheme="majorHAnsi"/>
                <w:color w:val="000000" w:themeColor="text1"/>
                <w:sz w:val="24"/>
                <w:szCs w:val="24"/>
                <w:lang w:val="pl-PL"/>
              </w:rPr>
              <w:t xml:space="preserve">- </w:t>
            </w:r>
            <w:r w:rsidR="000B756A" w:rsidRPr="00F4000D">
              <w:rPr>
                <w:rFonts w:asciiTheme="majorHAnsi" w:hAnsiTheme="majorHAnsi" w:cstheme="majorHAnsi"/>
                <w:color w:val="000000" w:themeColor="text1"/>
                <w:sz w:val="24"/>
                <w:szCs w:val="24"/>
                <w:lang w:val="pl-PL"/>
              </w:rPr>
              <w:t>Guiro duże</w:t>
            </w:r>
          </w:p>
          <w:p w14:paraId="6AB98A5E" w14:textId="77777777" w:rsidR="00982048" w:rsidRDefault="00982048" w:rsidP="005A0213">
            <w:pPr>
              <w:rPr>
                <w:rFonts w:asciiTheme="majorHAnsi" w:hAnsiTheme="majorHAnsi" w:cstheme="majorHAnsi"/>
                <w:color w:val="000000" w:themeColor="text1"/>
                <w:sz w:val="24"/>
                <w:szCs w:val="24"/>
                <w:lang w:val="pl-PL"/>
              </w:rPr>
            </w:pPr>
            <w:r>
              <w:rPr>
                <w:rFonts w:asciiTheme="majorHAnsi" w:hAnsiTheme="majorHAnsi" w:cstheme="majorHAnsi"/>
                <w:color w:val="000000" w:themeColor="text1"/>
                <w:sz w:val="24"/>
                <w:szCs w:val="24"/>
                <w:lang w:val="pl-PL"/>
              </w:rPr>
              <w:t xml:space="preserve">- </w:t>
            </w:r>
            <w:r w:rsidR="000B756A" w:rsidRPr="00F4000D">
              <w:rPr>
                <w:rFonts w:asciiTheme="majorHAnsi" w:hAnsiTheme="majorHAnsi" w:cstheme="majorHAnsi"/>
                <w:color w:val="000000" w:themeColor="text1"/>
                <w:sz w:val="24"/>
                <w:szCs w:val="24"/>
                <w:lang w:val="pl-PL"/>
              </w:rPr>
              <w:t>Guiro podwójne</w:t>
            </w:r>
          </w:p>
          <w:p w14:paraId="4869DB46" w14:textId="47850B1E" w:rsidR="00372C08" w:rsidRPr="00F4000D" w:rsidRDefault="00982048" w:rsidP="005A0213">
            <w:pPr>
              <w:rPr>
                <w:rFonts w:asciiTheme="majorHAnsi" w:hAnsiTheme="majorHAnsi" w:cstheme="majorHAnsi"/>
                <w:color w:val="000000" w:themeColor="text1"/>
                <w:sz w:val="24"/>
                <w:szCs w:val="24"/>
                <w:lang w:val="pl-PL"/>
              </w:rPr>
            </w:pPr>
            <w:r>
              <w:rPr>
                <w:rFonts w:asciiTheme="majorHAnsi" w:hAnsiTheme="majorHAnsi" w:cstheme="majorHAnsi"/>
                <w:color w:val="000000" w:themeColor="text1"/>
                <w:sz w:val="24"/>
                <w:szCs w:val="24"/>
                <w:lang w:val="pl-PL"/>
              </w:rPr>
              <w:t xml:space="preserve">- </w:t>
            </w:r>
            <w:proofErr w:type="spellStart"/>
            <w:r w:rsidR="000B756A" w:rsidRPr="00F4000D">
              <w:rPr>
                <w:rFonts w:asciiTheme="majorHAnsi" w:hAnsiTheme="majorHAnsi" w:cstheme="majorHAnsi"/>
                <w:color w:val="000000" w:themeColor="text1"/>
                <w:sz w:val="24"/>
                <w:szCs w:val="24"/>
                <w:lang w:val="pl-PL"/>
              </w:rPr>
              <w:t>Agogo</w:t>
            </w:r>
            <w:proofErr w:type="spellEnd"/>
            <w:r w:rsidR="000B756A" w:rsidRPr="00F4000D">
              <w:rPr>
                <w:rFonts w:asciiTheme="majorHAnsi" w:hAnsiTheme="majorHAnsi" w:cstheme="majorHAnsi"/>
                <w:color w:val="000000" w:themeColor="text1"/>
                <w:sz w:val="24"/>
                <w:szCs w:val="24"/>
                <w:lang w:val="pl-PL"/>
              </w:rPr>
              <w:t xml:space="preserve"> - 3</w:t>
            </w:r>
            <w:r w:rsidR="000B756A" w:rsidRPr="00F4000D">
              <w:rPr>
                <w:rFonts w:asciiTheme="majorHAnsi" w:hAnsiTheme="majorHAnsi" w:cstheme="majorHAnsi"/>
                <w:color w:val="000000" w:themeColor="text1"/>
                <w:sz w:val="24"/>
                <w:szCs w:val="24"/>
                <w:lang w:val="pl-PL"/>
              </w:rPr>
              <w:br/>
            </w:r>
            <w:r>
              <w:rPr>
                <w:rFonts w:asciiTheme="majorHAnsi" w:hAnsiTheme="majorHAnsi" w:cstheme="majorHAnsi"/>
                <w:color w:val="000000" w:themeColor="text1"/>
                <w:sz w:val="24"/>
                <w:szCs w:val="24"/>
                <w:lang w:val="pl-PL"/>
              </w:rPr>
              <w:t xml:space="preserve">- </w:t>
            </w:r>
            <w:r w:rsidR="000B756A" w:rsidRPr="00F4000D">
              <w:rPr>
                <w:rFonts w:asciiTheme="majorHAnsi" w:hAnsiTheme="majorHAnsi" w:cstheme="majorHAnsi"/>
                <w:color w:val="000000" w:themeColor="text1"/>
                <w:sz w:val="24"/>
                <w:szCs w:val="24"/>
                <w:lang w:val="pl-PL"/>
              </w:rPr>
              <w:t>Shaker</w:t>
            </w:r>
            <w:r w:rsidR="000B756A" w:rsidRPr="00F4000D">
              <w:rPr>
                <w:rFonts w:asciiTheme="majorHAnsi" w:hAnsiTheme="majorHAnsi" w:cstheme="majorHAnsi"/>
                <w:color w:val="000000" w:themeColor="text1"/>
                <w:sz w:val="24"/>
                <w:szCs w:val="24"/>
                <w:lang w:val="pl-PL"/>
              </w:rPr>
              <w:br/>
            </w:r>
            <w:r>
              <w:rPr>
                <w:rFonts w:asciiTheme="majorHAnsi" w:hAnsiTheme="majorHAnsi" w:cstheme="majorHAnsi"/>
                <w:color w:val="000000" w:themeColor="text1"/>
                <w:sz w:val="24"/>
                <w:szCs w:val="24"/>
                <w:lang w:val="pl-PL"/>
              </w:rPr>
              <w:t xml:space="preserve">- </w:t>
            </w:r>
            <w:r w:rsidR="000B756A" w:rsidRPr="00F4000D">
              <w:rPr>
                <w:rFonts w:asciiTheme="majorHAnsi" w:hAnsiTheme="majorHAnsi" w:cstheme="majorHAnsi"/>
                <w:color w:val="000000" w:themeColor="text1"/>
                <w:sz w:val="24"/>
                <w:szCs w:val="24"/>
                <w:lang w:val="pl-PL"/>
              </w:rPr>
              <w:t>Trójkąt - 5 (różne rozmiary)</w:t>
            </w:r>
            <w:r w:rsidR="000B756A" w:rsidRPr="00F4000D">
              <w:rPr>
                <w:rFonts w:asciiTheme="majorHAnsi" w:hAnsiTheme="majorHAnsi" w:cstheme="majorHAnsi"/>
                <w:color w:val="000000" w:themeColor="text1"/>
                <w:sz w:val="24"/>
                <w:szCs w:val="24"/>
                <w:lang w:val="pl-PL"/>
              </w:rPr>
              <w:br/>
              <w:t>W zestawie praktyczny pokrowiec</w:t>
            </w:r>
            <w:r>
              <w:rPr>
                <w:rFonts w:asciiTheme="majorHAnsi" w:hAnsiTheme="majorHAnsi" w:cstheme="majorHAnsi"/>
                <w:color w:val="000000" w:themeColor="text1"/>
                <w:sz w:val="24"/>
                <w:szCs w:val="24"/>
                <w:lang w:val="pl-PL"/>
              </w:rPr>
              <w:t>.</w:t>
            </w:r>
          </w:p>
        </w:tc>
      </w:tr>
      <w:tr w:rsidR="0055541E" w:rsidRPr="00F4000D" w14:paraId="21297A31" w14:textId="77777777" w:rsidTr="005A0213">
        <w:trPr>
          <w:jc w:val="center"/>
        </w:trPr>
        <w:tc>
          <w:tcPr>
            <w:tcW w:w="606" w:type="dxa"/>
          </w:tcPr>
          <w:p w14:paraId="51AF0692"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3051" w:type="dxa"/>
          </w:tcPr>
          <w:p w14:paraId="429BFE62"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Dzwonki naciskane diatoniczne</w:t>
            </w:r>
          </w:p>
        </w:tc>
        <w:tc>
          <w:tcPr>
            <w:tcW w:w="871" w:type="dxa"/>
          </w:tcPr>
          <w:p w14:paraId="757ACC4A"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167" w:type="dxa"/>
          </w:tcPr>
          <w:p w14:paraId="02FC3929"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zawiera 8 szt. dzwonków naciskanych (C’, D’, E’, F’, G’, A’, B’, C’’)</w:t>
            </w:r>
          </w:p>
        </w:tc>
      </w:tr>
      <w:tr w:rsidR="0055541E" w:rsidRPr="00F4000D" w14:paraId="5878E027" w14:textId="77777777" w:rsidTr="005A0213">
        <w:trPr>
          <w:jc w:val="center"/>
        </w:trPr>
        <w:tc>
          <w:tcPr>
            <w:tcW w:w="606" w:type="dxa"/>
          </w:tcPr>
          <w:p w14:paraId="4F41684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3</w:t>
            </w:r>
          </w:p>
        </w:tc>
        <w:tc>
          <w:tcPr>
            <w:tcW w:w="3051" w:type="dxa"/>
          </w:tcPr>
          <w:p w14:paraId="1B4AE27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Keyboard</w:t>
            </w:r>
          </w:p>
        </w:tc>
        <w:tc>
          <w:tcPr>
            <w:tcW w:w="871" w:type="dxa"/>
          </w:tcPr>
          <w:p w14:paraId="22DE7AD9"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167" w:type="dxa"/>
          </w:tcPr>
          <w:p w14:paraId="4C1B903A"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Parametry techniczne minimalne:</w:t>
            </w:r>
            <w:r w:rsidRPr="00F4000D">
              <w:rPr>
                <w:rFonts w:asciiTheme="majorHAnsi" w:hAnsiTheme="majorHAnsi" w:cstheme="majorHAnsi"/>
                <w:color w:val="000000" w:themeColor="text1"/>
                <w:sz w:val="24"/>
                <w:szCs w:val="24"/>
                <w:lang w:val="pl-PL"/>
              </w:rPr>
              <w:br/>
              <w:t>-Rodzaj klawiatury - keyboardowa, pełnowymiarowa, DYNAMICZNA</w:t>
            </w:r>
            <w:r w:rsidRPr="00F4000D">
              <w:rPr>
                <w:rFonts w:asciiTheme="majorHAnsi" w:hAnsiTheme="majorHAnsi" w:cstheme="majorHAnsi"/>
                <w:color w:val="000000" w:themeColor="text1"/>
                <w:sz w:val="24"/>
                <w:szCs w:val="24"/>
                <w:lang w:val="pl-PL"/>
              </w:rPr>
              <w:br/>
              <w:t>-Ilość klawiszy - 61</w:t>
            </w:r>
            <w:r w:rsidRPr="00F4000D">
              <w:rPr>
                <w:rFonts w:asciiTheme="majorHAnsi" w:hAnsiTheme="majorHAnsi" w:cstheme="majorHAnsi"/>
                <w:color w:val="000000" w:themeColor="text1"/>
                <w:sz w:val="24"/>
                <w:szCs w:val="24"/>
                <w:lang w:val="pl-PL"/>
              </w:rPr>
              <w:br/>
              <w:t xml:space="preserve">-Procesor dźwięku - AWM Stereo </w:t>
            </w:r>
            <w:proofErr w:type="spellStart"/>
            <w:r w:rsidRPr="00F4000D">
              <w:rPr>
                <w:rFonts w:asciiTheme="majorHAnsi" w:hAnsiTheme="majorHAnsi" w:cstheme="majorHAnsi"/>
                <w:color w:val="000000" w:themeColor="text1"/>
                <w:sz w:val="24"/>
                <w:szCs w:val="24"/>
                <w:lang w:val="pl-PL"/>
              </w:rPr>
              <w:t>Sampling</w:t>
            </w:r>
            <w:proofErr w:type="spellEnd"/>
            <w:r w:rsidRPr="00F4000D">
              <w:rPr>
                <w:rFonts w:asciiTheme="majorHAnsi" w:hAnsiTheme="majorHAnsi" w:cstheme="majorHAnsi"/>
                <w:color w:val="000000" w:themeColor="text1"/>
                <w:sz w:val="24"/>
                <w:szCs w:val="24"/>
                <w:lang w:val="pl-PL"/>
              </w:rPr>
              <w:br/>
              <w:t xml:space="preserve">-Liczba brzmień - 574 </w:t>
            </w:r>
            <w:proofErr w:type="spellStart"/>
            <w:r w:rsidRPr="00F4000D">
              <w:rPr>
                <w:rFonts w:asciiTheme="majorHAnsi" w:hAnsiTheme="majorHAnsi" w:cstheme="majorHAnsi"/>
                <w:color w:val="000000" w:themeColor="text1"/>
                <w:sz w:val="24"/>
                <w:szCs w:val="24"/>
                <w:lang w:val="pl-PL"/>
              </w:rPr>
              <w:t>Voices</w:t>
            </w:r>
            <w:proofErr w:type="spellEnd"/>
            <w:r w:rsidRPr="00F4000D">
              <w:rPr>
                <w:rFonts w:asciiTheme="majorHAnsi" w:hAnsiTheme="majorHAnsi" w:cstheme="majorHAnsi"/>
                <w:color w:val="000000" w:themeColor="text1"/>
                <w:sz w:val="24"/>
                <w:szCs w:val="24"/>
                <w:lang w:val="pl-PL"/>
              </w:rPr>
              <w:t xml:space="preserve"> – </w:t>
            </w:r>
            <w:proofErr w:type="spellStart"/>
            <w:r w:rsidRPr="00F4000D">
              <w:rPr>
                <w:rFonts w:asciiTheme="majorHAnsi" w:hAnsiTheme="majorHAnsi" w:cstheme="majorHAnsi"/>
                <w:color w:val="000000" w:themeColor="text1"/>
                <w:sz w:val="24"/>
                <w:szCs w:val="24"/>
                <w:lang w:val="pl-PL"/>
              </w:rPr>
              <w:t>incl</w:t>
            </w:r>
            <w:proofErr w:type="spellEnd"/>
            <w:r w:rsidRPr="00F4000D">
              <w:rPr>
                <w:rFonts w:asciiTheme="majorHAnsi" w:hAnsiTheme="majorHAnsi" w:cstheme="majorHAnsi"/>
                <w:color w:val="000000" w:themeColor="text1"/>
                <w:sz w:val="24"/>
                <w:szCs w:val="24"/>
                <w:lang w:val="pl-PL"/>
              </w:rPr>
              <w:t xml:space="preserve">. 18 </w:t>
            </w:r>
            <w:proofErr w:type="spellStart"/>
            <w:r w:rsidRPr="00F4000D">
              <w:rPr>
                <w:rFonts w:asciiTheme="majorHAnsi" w:hAnsiTheme="majorHAnsi" w:cstheme="majorHAnsi"/>
                <w:color w:val="000000" w:themeColor="text1"/>
                <w:sz w:val="24"/>
                <w:szCs w:val="24"/>
                <w:lang w:val="pl-PL"/>
              </w:rPr>
              <w:t>drum</w:t>
            </w:r>
            <w:proofErr w:type="spellEnd"/>
            <w:r w:rsidRPr="00F4000D">
              <w:rPr>
                <w:rFonts w:asciiTheme="majorHAnsi" w:hAnsiTheme="majorHAnsi" w:cstheme="majorHAnsi"/>
                <w:color w:val="000000" w:themeColor="text1"/>
                <w:sz w:val="24"/>
                <w:szCs w:val="24"/>
                <w:lang w:val="pl-PL"/>
              </w:rPr>
              <w:t xml:space="preserve"> / SFX </w:t>
            </w:r>
            <w:proofErr w:type="spellStart"/>
            <w:r w:rsidRPr="00F4000D">
              <w:rPr>
                <w:rFonts w:asciiTheme="majorHAnsi" w:hAnsiTheme="majorHAnsi" w:cstheme="majorHAnsi"/>
                <w:color w:val="000000" w:themeColor="text1"/>
                <w:sz w:val="24"/>
                <w:szCs w:val="24"/>
                <w:lang w:val="pl-PL"/>
              </w:rPr>
              <w:t>kits</w:t>
            </w:r>
            <w:proofErr w:type="spellEnd"/>
            <w:r w:rsidRPr="00F4000D">
              <w:rPr>
                <w:rFonts w:asciiTheme="majorHAnsi" w:hAnsiTheme="majorHAnsi" w:cstheme="majorHAnsi"/>
                <w:color w:val="000000" w:themeColor="text1"/>
                <w:sz w:val="24"/>
                <w:szCs w:val="24"/>
                <w:lang w:val="pl-PL"/>
              </w:rPr>
              <w:t xml:space="preserve">, 339 </w:t>
            </w:r>
            <w:proofErr w:type="spellStart"/>
            <w:r w:rsidRPr="00F4000D">
              <w:rPr>
                <w:rFonts w:asciiTheme="majorHAnsi" w:hAnsiTheme="majorHAnsi" w:cstheme="majorHAnsi"/>
                <w:color w:val="000000" w:themeColor="text1"/>
                <w:sz w:val="24"/>
                <w:szCs w:val="24"/>
                <w:lang w:val="pl-PL"/>
              </w:rPr>
              <w:t>XGlite</w:t>
            </w:r>
            <w:proofErr w:type="spellEnd"/>
            <w:r w:rsidRPr="00F4000D">
              <w:rPr>
                <w:rFonts w:asciiTheme="majorHAnsi" w:hAnsiTheme="majorHAnsi" w:cstheme="majorHAnsi"/>
                <w:color w:val="000000" w:themeColor="text1"/>
                <w:sz w:val="24"/>
                <w:szCs w:val="24"/>
                <w:lang w:val="pl-PL"/>
              </w:rPr>
              <w:t xml:space="preserve"> and 20 </w:t>
            </w:r>
            <w:proofErr w:type="spellStart"/>
            <w:r w:rsidRPr="00F4000D">
              <w:rPr>
                <w:rFonts w:asciiTheme="majorHAnsi" w:hAnsiTheme="majorHAnsi" w:cstheme="majorHAnsi"/>
                <w:color w:val="000000" w:themeColor="text1"/>
                <w:sz w:val="24"/>
                <w:szCs w:val="24"/>
                <w:lang w:val="pl-PL"/>
              </w:rPr>
              <w:t>arpeggios</w:t>
            </w:r>
            <w:proofErr w:type="spellEnd"/>
            <w:r w:rsidRPr="00F4000D">
              <w:rPr>
                <w:rFonts w:asciiTheme="majorHAnsi" w:hAnsiTheme="majorHAnsi" w:cstheme="majorHAnsi"/>
                <w:color w:val="000000" w:themeColor="text1"/>
                <w:sz w:val="24"/>
                <w:szCs w:val="24"/>
                <w:lang w:val="pl-PL"/>
              </w:rPr>
              <w:br/>
              <w:t>-Polifonia - 48 dźwięki</w:t>
            </w:r>
            <w:r w:rsidRPr="00F4000D">
              <w:rPr>
                <w:rFonts w:asciiTheme="majorHAnsi" w:hAnsiTheme="majorHAnsi" w:cstheme="majorHAnsi"/>
                <w:color w:val="000000" w:themeColor="text1"/>
                <w:sz w:val="24"/>
                <w:szCs w:val="24"/>
                <w:lang w:val="pl-PL"/>
              </w:rPr>
              <w:br/>
              <w:t xml:space="preserve"> -Tryby pracy klawiatury - Dual/</w:t>
            </w:r>
            <w:proofErr w:type="spellStart"/>
            <w:r w:rsidRPr="00F4000D">
              <w:rPr>
                <w:rFonts w:asciiTheme="majorHAnsi" w:hAnsiTheme="majorHAnsi" w:cstheme="majorHAnsi"/>
                <w:color w:val="000000" w:themeColor="text1"/>
                <w:sz w:val="24"/>
                <w:szCs w:val="24"/>
                <w:lang w:val="pl-PL"/>
              </w:rPr>
              <w:t>Layers</w:t>
            </w:r>
            <w:proofErr w:type="spellEnd"/>
            <w:r w:rsidRPr="00F4000D">
              <w:rPr>
                <w:rFonts w:asciiTheme="majorHAnsi" w:hAnsiTheme="majorHAnsi" w:cstheme="majorHAnsi"/>
                <w:color w:val="000000" w:themeColor="text1"/>
                <w:sz w:val="24"/>
                <w:szCs w:val="24"/>
                <w:lang w:val="pl-PL"/>
              </w:rPr>
              <w:t xml:space="preserve">, Split, </w:t>
            </w:r>
            <w:proofErr w:type="spellStart"/>
            <w:r w:rsidRPr="00F4000D">
              <w:rPr>
                <w:rFonts w:asciiTheme="majorHAnsi" w:hAnsiTheme="majorHAnsi" w:cstheme="majorHAnsi"/>
                <w:color w:val="000000" w:themeColor="text1"/>
                <w:sz w:val="24"/>
                <w:szCs w:val="24"/>
                <w:lang w:val="pl-PL"/>
              </w:rPr>
              <w:t>Melody</w:t>
            </w:r>
            <w:proofErr w:type="spellEnd"/>
            <w:r w:rsidRPr="00F4000D">
              <w:rPr>
                <w:rFonts w:asciiTheme="majorHAnsi" w:hAnsiTheme="majorHAnsi" w:cstheme="majorHAnsi"/>
                <w:color w:val="000000" w:themeColor="text1"/>
                <w:sz w:val="24"/>
                <w:szCs w:val="24"/>
                <w:lang w:val="pl-PL"/>
              </w:rPr>
              <w:t xml:space="preserve"> </w:t>
            </w:r>
            <w:proofErr w:type="spellStart"/>
            <w:r w:rsidRPr="00F4000D">
              <w:rPr>
                <w:rFonts w:asciiTheme="majorHAnsi" w:hAnsiTheme="majorHAnsi" w:cstheme="majorHAnsi"/>
                <w:color w:val="000000" w:themeColor="text1"/>
                <w:sz w:val="24"/>
                <w:szCs w:val="24"/>
                <w:lang w:val="pl-PL"/>
              </w:rPr>
              <w:t>Suppressor</w:t>
            </w:r>
            <w:proofErr w:type="spellEnd"/>
            <w:r w:rsidRPr="00F4000D">
              <w:rPr>
                <w:rFonts w:asciiTheme="majorHAnsi" w:hAnsiTheme="majorHAnsi" w:cstheme="majorHAnsi"/>
                <w:color w:val="000000" w:themeColor="text1"/>
                <w:sz w:val="24"/>
                <w:szCs w:val="24"/>
                <w:lang w:val="pl-PL"/>
              </w:rPr>
              <w:br/>
              <w:t>-Możliwość nagrywania</w:t>
            </w:r>
            <w:r w:rsidRPr="00F4000D">
              <w:rPr>
                <w:rFonts w:asciiTheme="majorHAnsi" w:hAnsiTheme="majorHAnsi" w:cstheme="majorHAnsi"/>
                <w:color w:val="000000" w:themeColor="text1"/>
                <w:sz w:val="24"/>
                <w:szCs w:val="24"/>
                <w:lang w:val="pl-PL"/>
              </w:rPr>
              <w:br/>
              <w:t>-Złącza USB - tak, USB to HOST</w:t>
            </w:r>
            <w:r w:rsidRPr="00F4000D">
              <w:rPr>
                <w:rFonts w:asciiTheme="majorHAnsi" w:hAnsiTheme="majorHAnsi" w:cstheme="majorHAnsi"/>
                <w:color w:val="000000" w:themeColor="text1"/>
                <w:sz w:val="24"/>
                <w:szCs w:val="24"/>
                <w:lang w:val="pl-PL"/>
              </w:rPr>
              <w:br/>
              <w:t>-Wyświetlacz - LCD, j. angielski</w:t>
            </w:r>
            <w:r w:rsidRPr="00F4000D">
              <w:rPr>
                <w:rFonts w:asciiTheme="majorHAnsi" w:hAnsiTheme="majorHAnsi" w:cstheme="majorHAnsi"/>
                <w:color w:val="000000" w:themeColor="text1"/>
                <w:sz w:val="24"/>
                <w:szCs w:val="24"/>
                <w:lang w:val="pl-PL"/>
              </w:rPr>
              <w:br/>
              <w:t>-System nagłośnienia - 2,5W + 2,5W</w:t>
            </w:r>
            <w:r w:rsidRPr="00F4000D">
              <w:rPr>
                <w:rFonts w:asciiTheme="majorHAnsi" w:hAnsiTheme="majorHAnsi" w:cstheme="majorHAnsi"/>
                <w:color w:val="000000" w:themeColor="text1"/>
                <w:sz w:val="24"/>
                <w:szCs w:val="24"/>
                <w:lang w:val="pl-PL"/>
              </w:rPr>
              <w:br/>
            </w:r>
            <w:r w:rsidRPr="00F4000D">
              <w:rPr>
                <w:rFonts w:asciiTheme="majorHAnsi" w:hAnsiTheme="majorHAnsi" w:cstheme="majorHAnsi"/>
                <w:color w:val="000000" w:themeColor="text1"/>
                <w:sz w:val="24"/>
                <w:szCs w:val="24"/>
                <w:lang w:val="pl-PL"/>
              </w:rPr>
              <w:lastRenderedPageBreak/>
              <w:t>-wymiary w cm - 94,5 × 36,8 × 11,8 cm</w:t>
            </w:r>
            <w:r w:rsidRPr="00F4000D">
              <w:rPr>
                <w:rFonts w:asciiTheme="majorHAnsi" w:hAnsiTheme="majorHAnsi" w:cstheme="majorHAnsi"/>
                <w:color w:val="000000" w:themeColor="text1"/>
                <w:sz w:val="24"/>
                <w:szCs w:val="24"/>
                <w:lang w:val="pl-PL"/>
              </w:rPr>
              <w:br/>
              <w:t xml:space="preserve">-Pedały - </w:t>
            </w:r>
            <w:proofErr w:type="spellStart"/>
            <w:r w:rsidRPr="00F4000D">
              <w:rPr>
                <w:rFonts w:asciiTheme="majorHAnsi" w:hAnsiTheme="majorHAnsi" w:cstheme="majorHAnsi"/>
                <w:color w:val="000000" w:themeColor="text1"/>
                <w:sz w:val="24"/>
                <w:szCs w:val="24"/>
                <w:lang w:val="pl-PL"/>
              </w:rPr>
              <w:t>Sustain</w:t>
            </w:r>
            <w:proofErr w:type="spellEnd"/>
            <w:r w:rsidRPr="00F4000D">
              <w:rPr>
                <w:rFonts w:asciiTheme="majorHAnsi" w:hAnsiTheme="majorHAnsi" w:cstheme="majorHAnsi"/>
                <w:color w:val="000000" w:themeColor="text1"/>
                <w:sz w:val="24"/>
                <w:szCs w:val="24"/>
                <w:lang w:val="pl-PL"/>
              </w:rPr>
              <w:br/>
              <w:t>-Wejścia - słuchawkowe/AUX In (stereo mini)/USB to Host</w:t>
            </w:r>
            <w:r w:rsidRPr="00F4000D">
              <w:rPr>
                <w:rFonts w:asciiTheme="majorHAnsi" w:hAnsiTheme="majorHAnsi" w:cstheme="majorHAnsi"/>
                <w:color w:val="000000" w:themeColor="text1"/>
                <w:sz w:val="24"/>
                <w:szCs w:val="24"/>
                <w:lang w:val="pl-PL"/>
              </w:rPr>
              <w:br/>
              <w:t>-Funkcja Arpeggio - tak</w:t>
            </w:r>
            <w:r w:rsidRPr="00F4000D">
              <w:rPr>
                <w:rFonts w:asciiTheme="majorHAnsi" w:hAnsiTheme="majorHAnsi" w:cstheme="majorHAnsi"/>
                <w:color w:val="000000" w:themeColor="text1"/>
                <w:sz w:val="24"/>
                <w:szCs w:val="24"/>
                <w:lang w:val="pl-PL"/>
              </w:rPr>
              <w:br/>
              <w:t>-Podkłady (style) - tak</w:t>
            </w:r>
            <w:r w:rsidRPr="00F4000D">
              <w:rPr>
                <w:rFonts w:asciiTheme="majorHAnsi" w:hAnsiTheme="majorHAnsi" w:cstheme="majorHAnsi"/>
                <w:color w:val="000000" w:themeColor="text1"/>
                <w:sz w:val="24"/>
                <w:szCs w:val="24"/>
                <w:lang w:val="pl-PL"/>
              </w:rPr>
              <w:br/>
              <w:t>-Gwarancja producenta - 2 lata</w:t>
            </w:r>
            <w:r w:rsidRPr="00F4000D">
              <w:rPr>
                <w:rFonts w:asciiTheme="majorHAnsi" w:hAnsiTheme="majorHAnsi" w:cstheme="majorHAnsi"/>
                <w:color w:val="000000" w:themeColor="text1"/>
                <w:sz w:val="24"/>
                <w:szCs w:val="24"/>
                <w:lang w:val="pl-PL"/>
              </w:rPr>
              <w:br/>
              <w:t>-Bateria - możliwość pracy na baterii</w:t>
            </w:r>
            <w:r w:rsidRPr="00F4000D">
              <w:rPr>
                <w:rFonts w:asciiTheme="majorHAnsi" w:hAnsiTheme="majorHAnsi" w:cstheme="majorHAnsi"/>
                <w:color w:val="000000" w:themeColor="text1"/>
                <w:sz w:val="24"/>
                <w:szCs w:val="24"/>
                <w:lang w:val="pl-PL"/>
              </w:rPr>
              <w:br/>
              <w:t>-W zestawie z instrumentem: pulpit do nut, zasilacz.</w:t>
            </w:r>
          </w:p>
        </w:tc>
      </w:tr>
      <w:tr w:rsidR="0055541E" w:rsidRPr="00F4000D" w14:paraId="4556062A" w14:textId="77777777" w:rsidTr="005A0213">
        <w:trPr>
          <w:jc w:val="center"/>
        </w:trPr>
        <w:tc>
          <w:tcPr>
            <w:tcW w:w="606" w:type="dxa"/>
          </w:tcPr>
          <w:p w14:paraId="303C254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4</w:t>
            </w:r>
          </w:p>
        </w:tc>
        <w:tc>
          <w:tcPr>
            <w:tcW w:w="3051" w:type="dxa"/>
          </w:tcPr>
          <w:p w14:paraId="0E6E672A"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RURKI ZESTAW KLASOWY Zestaw do ćwiczenia rytmu, harmonii</w:t>
            </w:r>
          </w:p>
        </w:tc>
        <w:tc>
          <w:tcPr>
            <w:tcW w:w="871" w:type="dxa"/>
          </w:tcPr>
          <w:p w14:paraId="3C78785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167" w:type="dxa"/>
          </w:tcPr>
          <w:p w14:paraId="74ADA9BF"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Zestaw klasowy jest złożony z 3 zestawów Diatonicznych, 2 zestawów Chromatycznych i 1 zestawu Sopranowego.</w:t>
            </w:r>
            <w:r w:rsidRPr="00F4000D">
              <w:rPr>
                <w:rFonts w:asciiTheme="majorHAnsi" w:hAnsiTheme="majorHAnsi" w:cstheme="majorHAnsi"/>
                <w:color w:val="000000" w:themeColor="text1"/>
                <w:sz w:val="24"/>
                <w:szCs w:val="24"/>
                <w:lang w:val="pl-PL"/>
              </w:rPr>
              <w:br/>
              <w:t xml:space="preserve">Zastosowanie </w:t>
            </w:r>
            <w:proofErr w:type="spellStart"/>
            <w:r w:rsidRPr="00F4000D">
              <w:rPr>
                <w:rFonts w:asciiTheme="majorHAnsi" w:hAnsiTheme="majorHAnsi" w:cstheme="majorHAnsi"/>
                <w:color w:val="000000" w:themeColor="text1"/>
                <w:sz w:val="24"/>
                <w:szCs w:val="24"/>
                <w:lang w:val="pl-PL"/>
              </w:rPr>
              <w:t>oktawatorów</w:t>
            </w:r>
            <w:proofErr w:type="spellEnd"/>
            <w:r w:rsidRPr="00F4000D">
              <w:rPr>
                <w:rFonts w:asciiTheme="majorHAnsi" w:hAnsiTheme="majorHAnsi" w:cstheme="majorHAnsi"/>
                <w:color w:val="000000" w:themeColor="text1"/>
                <w:sz w:val="24"/>
                <w:szCs w:val="24"/>
                <w:lang w:val="pl-PL"/>
              </w:rPr>
              <w:t xml:space="preserve"> na wybrane dźwięki umożliwi rozszerzenie skali grania do 2,5 oktawy.</w:t>
            </w:r>
            <w:r w:rsidRPr="00F4000D">
              <w:rPr>
                <w:rFonts w:asciiTheme="majorHAnsi" w:hAnsiTheme="majorHAnsi" w:cstheme="majorHAnsi"/>
                <w:color w:val="000000" w:themeColor="text1"/>
                <w:sz w:val="24"/>
                <w:szCs w:val="24"/>
                <w:lang w:val="pl-PL"/>
              </w:rPr>
              <w:br/>
            </w:r>
            <w:r w:rsidRPr="00F4000D">
              <w:rPr>
                <w:rFonts w:asciiTheme="majorHAnsi" w:hAnsiTheme="majorHAnsi" w:cstheme="majorHAnsi"/>
                <w:color w:val="000000" w:themeColor="text1"/>
                <w:sz w:val="24"/>
                <w:szCs w:val="24"/>
                <w:lang w:val="pl-PL"/>
              </w:rPr>
              <w:br/>
              <w:t>Ponieważ rzadko kiedy będą do gry wykorzystywane wszystkie dźwięki, na tym zestawie może aktywnie muzykować ok. 30 osób.</w:t>
            </w:r>
            <w:r w:rsidRPr="00F4000D">
              <w:rPr>
                <w:rFonts w:asciiTheme="majorHAnsi" w:hAnsiTheme="majorHAnsi" w:cstheme="majorHAnsi"/>
                <w:color w:val="000000" w:themeColor="text1"/>
                <w:sz w:val="24"/>
                <w:szCs w:val="24"/>
                <w:lang w:val="pl-PL"/>
              </w:rPr>
              <w:br/>
              <w:t>Odpowiednio zdublowane dźwięki pomogą w tworzeniu grup grających tymi samymi rurkami,</w:t>
            </w:r>
            <w:r w:rsidRPr="00F4000D">
              <w:rPr>
                <w:rFonts w:asciiTheme="majorHAnsi" w:hAnsiTheme="majorHAnsi" w:cstheme="majorHAnsi"/>
                <w:color w:val="000000" w:themeColor="text1"/>
                <w:sz w:val="24"/>
                <w:szCs w:val="24"/>
                <w:lang w:val="pl-PL"/>
              </w:rPr>
              <w:br/>
              <w:t>co jest ważnym elementem budującym współpracę w grupie.</w:t>
            </w:r>
            <w:r w:rsidRPr="00F4000D">
              <w:rPr>
                <w:rFonts w:asciiTheme="majorHAnsi" w:hAnsiTheme="majorHAnsi" w:cstheme="majorHAnsi"/>
                <w:color w:val="000000" w:themeColor="text1"/>
                <w:sz w:val="24"/>
                <w:szCs w:val="24"/>
                <w:lang w:val="pl-PL"/>
              </w:rPr>
              <w:br/>
              <w:t>Zestaw zawiera 41 rurek, w tym:</w:t>
            </w:r>
            <w:r w:rsidRPr="00F4000D">
              <w:rPr>
                <w:rFonts w:asciiTheme="majorHAnsi" w:hAnsiTheme="majorHAnsi" w:cstheme="majorHAnsi"/>
                <w:color w:val="000000" w:themeColor="text1"/>
                <w:sz w:val="24"/>
                <w:szCs w:val="24"/>
                <w:lang w:val="pl-PL"/>
              </w:rPr>
              <w:br/>
              <w:t>– 3 sztuki rurek: C’, D’, E’, F’, G’, A’, H’*, C’’</w:t>
            </w:r>
            <w:r w:rsidRPr="00F4000D">
              <w:rPr>
                <w:rFonts w:asciiTheme="majorHAnsi" w:hAnsiTheme="majorHAnsi" w:cstheme="majorHAnsi"/>
                <w:color w:val="000000" w:themeColor="text1"/>
                <w:sz w:val="24"/>
                <w:szCs w:val="24"/>
                <w:lang w:val="pl-PL"/>
              </w:rPr>
              <w:br/>
              <w:t xml:space="preserve">– 2 sztuki rurek: Cis’, </w:t>
            </w:r>
            <w:proofErr w:type="spellStart"/>
            <w:r w:rsidRPr="00F4000D">
              <w:rPr>
                <w:rFonts w:asciiTheme="majorHAnsi" w:hAnsiTheme="majorHAnsi" w:cstheme="majorHAnsi"/>
                <w:color w:val="000000" w:themeColor="text1"/>
                <w:sz w:val="24"/>
                <w:szCs w:val="24"/>
                <w:lang w:val="pl-PL"/>
              </w:rPr>
              <w:t>Dis</w:t>
            </w:r>
            <w:proofErr w:type="spellEnd"/>
            <w:r w:rsidRPr="00F4000D">
              <w:rPr>
                <w:rFonts w:asciiTheme="majorHAnsi" w:hAnsiTheme="majorHAnsi" w:cstheme="majorHAnsi"/>
                <w:color w:val="000000" w:themeColor="text1"/>
                <w:sz w:val="24"/>
                <w:szCs w:val="24"/>
                <w:lang w:val="pl-PL"/>
              </w:rPr>
              <w:t xml:space="preserve">’, Fis’, Gis’, </w:t>
            </w:r>
            <w:proofErr w:type="spellStart"/>
            <w:r w:rsidRPr="00F4000D">
              <w:rPr>
                <w:rFonts w:asciiTheme="majorHAnsi" w:hAnsiTheme="majorHAnsi" w:cstheme="majorHAnsi"/>
                <w:color w:val="000000" w:themeColor="text1"/>
                <w:sz w:val="24"/>
                <w:szCs w:val="24"/>
                <w:lang w:val="pl-PL"/>
              </w:rPr>
              <w:t>Ais</w:t>
            </w:r>
            <w:proofErr w:type="spellEnd"/>
            <w:r w:rsidRPr="00F4000D">
              <w:rPr>
                <w:rFonts w:asciiTheme="majorHAnsi" w:hAnsiTheme="majorHAnsi" w:cstheme="majorHAnsi"/>
                <w:color w:val="000000" w:themeColor="text1"/>
                <w:sz w:val="24"/>
                <w:szCs w:val="24"/>
                <w:lang w:val="pl-PL"/>
              </w:rPr>
              <w:t>’</w:t>
            </w:r>
            <w:r w:rsidRPr="00F4000D">
              <w:rPr>
                <w:rFonts w:asciiTheme="majorHAnsi" w:hAnsiTheme="majorHAnsi" w:cstheme="majorHAnsi"/>
                <w:color w:val="000000" w:themeColor="text1"/>
                <w:sz w:val="24"/>
                <w:szCs w:val="24"/>
                <w:lang w:val="pl-PL"/>
              </w:rPr>
              <w:br/>
              <w:t xml:space="preserve">– 1 sztuka rurek: Cis’’, D’’, </w:t>
            </w:r>
            <w:proofErr w:type="spellStart"/>
            <w:r w:rsidRPr="00F4000D">
              <w:rPr>
                <w:rFonts w:asciiTheme="majorHAnsi" w:hAnsiTheme="majorHAnsi" w:cstheme="majorHAnsi"/>
                <w:color w:val="000000" w:themeColor="text1"/>
                <w:sz w:val="24"/>
                <w:szCs w:val="24"/>
                <w:lang w:val="pl-PL"/>
              </w:rPr>
              <w:t>Dis</w:t>
            </w:r>
            <w:proofErr w:type="spellEnd"/>
            <w:r w:rsidRPr="00F4000D">
              <w:rPr>
                <w:rFonts w:asciiTheme="majorHAnsi" w:hAnsiTheme="majorHAnsi" w:cstheme="majorHAnsi"/>
                <w:color w:val="000000" w:themeColor="text1"/>
                <w:sz w:val="24"/>
                <w:szCs w:val="24"/>
                <w:lang w:val="pl-PL"/>
              </w:rPr>
              <w:t>’’, E’’, F’’, Fis’’, G’’</w:t>
            </w:r>
            <w:r w:rsidRPr="00F4000D">
              <w:rPr>
                <w:rFonts w:asciiTheme="majorHAnsi" w:hAnsiTheme="majorHAnsi" w:cstheme="majorHAnsi"/>
                <w:color w:val="000000" w:themeColor="text1"/>
                <w:sz w:val="24"/>
                <w:szCs w:val="24"/>
                <w:lang w:val="pl-PL"/>
              </w:rPr>
              <w:br/>
              <w:t>Zestaw zawiera dodatkowo:</w:t>
            </w:r>
            <w:r w:rsidRPr="00F4000D">
              <w:rPr>
                <w:rFonts w:asciiTheme="majorHAnsi" w:hAnsiTheme="majorHAnsi" w:cstheme="majorHAnsi"/>
                <w:color w:val="000000" w:themeColor="text1"/>
                <w:sz w:val="24"/>
                <w:szCs w:val="24"/>
                <w:lang w:val="pl-PL"/>
              </w:rPr>
              <w:br/>
              <w:t xml:space="preserve">– 8 sztuk zatyczek </w:t>
            </w:r>
            <w:proofErr w:type="spellStart"/>
            <w:r w:rsidRPr="00F4000D">
              <w:rPr>
                <w:rFonts w:asciiTheme="majorHAnsi" w:hAnsiTheme="majorHAnsi" w:cstheme="majorHAnsi"/>
                <w:color w:val="000000" w:themeColor="text1"/>
                <w:sz w:val="24"/>
                <w:szCs w:val="24"/>
                <w:lang w:val="pl-PL"/>
              </w:rPr>
              <w:t>oktawator</w:t>
            </w:r>
            <w:proofErr w:type="spellEnd"/>
            <w:r w:rsidRPr="00F4000D">
              <w:rPr>
                <w:rFonts w:asciiTheme="majorHAnsi" w:hAnsiTheme="majorHAnsi" w:cstheme="majorHAnsi"/>
                <w:color w:val="000000" w:themeColor="text1"/>
                <w:sz w:val="24"/>
                <w:szCs w:val="24"/>
                <w:lang w:val="pl-PL"/>
              </w:rPr>
              <w:br/>
              <w:t>– 1 komputerowy dyrygent "Przybij rurkę"</w:t>
            </w:r>
          </w:p>
        </w:tc>
      </w:tr>
      <w:tr w:rsidR="0055541E" w:rsidRPr="00F4000D" w14:paraId="1F6295D6" w14:textId="77777777" w:rsidTr="005A0213">
        <w:trPr>
          <w:jc w:val="center"/>
        </w:trPr>
        <w:tc>
          <w:tcPr>
            <w:tcW w:w="606" w:type="dxa"/>
          </w:tcPr>
          <w:p w14:paraId="103743D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5</w:t>
            </w:r>
          </w:p>
        </w:tc>
        <w:tc>
          <w:tcPr>
            <w:tcW w:w="3051" w:type="dxa"/>
          </w:tcPr>
          <w:p w14:paraId="33315223"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Dzwonki naciskane chromatyczne 23 sztuki</w:t>
            </w:r>
          </w:p>
        </w:tc>
        <w:tc>
          <w:tcPr>
            <w:tcW w:w="871" w:type="dxa"/>
          </w:tcPr>
          <w:p w14:paraId="0628DED0"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167" w:type="dxa"/>
          </w:tcPr>
          <w:p w14:paraId="68F879B9"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Dzwonki chromatyczne (C-dur) naciskane, 23 sztuki</w:t>
            </w:r>
            <w:r w:rsidRPr="00F4000D">
              <w:rPr>
                <w:rFonts w:asciiTheme="majorHAnsi" w:hAnsiTheme="majorHAnsi" w:cstheme="majorHAnsi"/>
                <w:color w:val="000000" w:themeColor="text1"/>
                <w:sz w:val="24"/>
                <w:szCs w:val="24"/>
                <w:lang w:val="pl-PL"/>
              </w:rPr>
              <w:br/>
              <w:t xml:space="preserve">dźwięki od A1 - G3 </w:t>
            </w:r>
            <w:r w:rsidRPr="00F4000D">
              <w:rPr>
                <w:rFonts w:asciiTheme="majorHAnsi" w:hAnsiTheme="majorHAnsi" w:cstheme="majorHAnsi"/>
                <w:color w:val="000000" w:themeColor="text1"/>
                <w:sz w:val="24"/>
                <w:szCs w:val="24"/>
                <w:lang w:val="pl-PL"/>
              </w:rPr>
              <w:br/>
              <w:t>Dzwonki posiadają antypoślizgowe stopki, które zawsze dopasują się do powierzchni, na której stoją.</w:t>
            </w:r>
          </w:p>
        </w:tc>
      </w:tr>
      <w:tr w:rsidR="0055541E" w:rsidRPr="00F4000D" w14:paraId="5524CEF9" w14:textId="77777777" w:rsidTr="005A0213">
        <w:trPr>
          <w:jc w:val="center"/>
        </w:trPr>
        <w:tc>
          <w:tcPr>
            <w:tcW w:w="606" w:type="dxa"/>
          </w:tcPr>
          <w:p w14:paraId="241AEE3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6</w:t>
            </w:r>
          </w:p>
        </w:tc>
        <w:tc>
          <w:tcPr>
            <w:tcW w:w="3051" w:type="dxa"/>
          </w:tcPr>
          <w:p w14:paraId="3832562E"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Rurki zestaw pełny 2,5 oktawy - 32 rurki</w:t>
            </w:r>
          </w:p>
        </w:tc>
        <w:tc>
          <w:tcPr>
            <w:tcW w:w="871" w:type="dxa"/>
          </w:tcPr>
          <w:p w14:paraId="7E20E924"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167" w:type="dxa"/>
          </w:tcPr>
          <w:p w14:paraId="4F9D0064"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Zestaw pełny to wszystkie długości rurek, jakie są produkowane. Dokładnie 32 dźwięki. Ich zakres to 2,5 oktawy. Zakładając </w:t>
            </w:r>
            <w:proofErr w:type="spellStart"/>
            <w:r w:rsidRPr="00F4000D">
              <w:rPr>
                <w:rFonts w:asciiTheme="majorHAnsi" w:hAnsiTheme="majorHAnsi" w:cstheme="majorHAnsi"/>
                <w:color w:val="000000" w:themeColor="text1"/>
                <w:sz w:val="24"/>
                <w:szCs w:val="24"/>
                <w:lang w:val="pl-PL"/>
              </w:rPr>
              <w:t>oktawatory</w:t>
            </w:r>
            <w:proofErr w:type="spellEnd"/>
            <w:r w:rsidRPr="00F4000D">
              <w:rPr>
                <w:rFonts w:asciiTheme="majorHAnsi" w:hAnsiTheme="majorHAnsi" w:cstheme="majorHAnsi"/>
                <w:color w:val="000000" w:themeColor="text1"/>
                <w:sz w:val="24"/>
                <w:szCs w:val="24"/>
                <w:lang w:val="pl-PL"/>
              </w:rPr>
              <w:t xml:space="preserve"> na najdłuższe rurki (basowe) można grać jeszcze oktawę niżej. </w:t>
            </w:r>
            <w:r w:rsidRPr="00F4000D">
              <w:rPr>
                <w:rFonts w:asciiTheme="majorHAnsi" w:hAnsiTheme="majorHAnsi" w:cstheme="majorHAnsi"/>
                <w:color w:val="000000" w:themeColor="text1"/>
                <w:sz w:val="24"/>
                <w:szCs w:val="24"/>
                <w:lang w:val="pl-PL"/>
              </w:rPr>
              <w:br/>
              <w:t>Daje to możliwości grania w przedziale 3,5 oktawy.</w:t>
            </w:r>
          </w:p>
        </w:tc>
      </w:tr>
      <w:tr w:rsidR="0055541E" w:rsidRPr="00F4000D" w14:paraId="15C69EF8" w14:textId="77777777" w:rsidTr="005A0213">
        <w:trPr>
          <w:jc w:val="center"/>
        </w:trPr>
        <w:tc>
          <w:tcPr>
            <w:tcW w:w="606" w:type="dxa"/>
          </w:tcPr>
          <w:p w14:paraId="00250DB6"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7</w:t>
            </w:r>
          </w:p>
        </w:tc>
        <w:tc>
          <w:tcPr>
            <w:tcW w:w="3051" w:type="dxa"/>
          </w:tcPr>
          <w:p w14:paraId="288BBE22"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Ukulele instrument muzyczny z grupy instrumentów strunowych </w:t>
            </w:r>
            <w:r w:rsidRPr="00F4000D">
              <w:rPr>
                <w:rFonts w:asciiTheme="majorHAnsi" w:hAnsiTheme="majorHAnsi" w:cstheme="majorHAnsi"/>
                <w:color w:val="000000" w:themeColor="text1"/>
                <w:sz w:val="24"/>
                <w:szCs w:val="24"/>
                <w:lang w:val="pl-PL"/>
              </w:rPr>
              <w:lastRenderedPageBreak/>
              <w:t>szarpanych</w:t>
            </w:r>
          </w:p>
        </w:tc>
        <w:tc>
          <w:tcPr>
            <w:tcW w:w="871" w:type="dxa"/>
          </w:tcPr>
          <w:p w14:paraId="1409EEF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20</w:t>
            </w:r>
          </w:p>
        </w:tc>
        <w:tc>
          <w:tcPr>
            <w:tcW w:w="5167" w:type="dxa"/>
          </w:tcPr>
          <w:p w14:paraId="5C21BFC4" w14:textId="560853BA"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Ukulele sopranowe to najmniejszy i najbardziej tradycyjny model tego popularnego instrumentu. Idealne dla początkujących i zaawansowanych </w:t>
            </w:r>
            <w:r w:rsidRPr="00F4000D">
              <w:rPr>
                <w:rFonts w:asciiTheme="majorHAnsi" w:hAnsiTheme="majorHAnsi" w:cstheme="majorHAnsi"/>
                <w:color w:val="000000" w:themeColor="text1"/>
                <w:sz w:val="24"/>
                <w:szCs w:val="24"/>
                <w:lang w:val="pl-PL"/>
              </w:rPr>
              <w:lastRenderedPageBreak/>
              <w:t>muzyków, oferuje lekkie, jasne brzmienie i jest łatwe do nauki gry.</w:t>
            </w:r>
            <w:r w:rsidRPr="00F4000D">
              <w:rPr>
                <w:rFonts w:asciiTheme="majorHAnsi" w:hAnsiTheme="majorHAnsi" w:cstheme="majorHAnsi"/>
                <w:color w:val="000000" w:themeColor="text1"/>
                <w:sz w:val="24"/>
                <w:szCs w:val="24"/>
                <w:lang w:val="pl-PL"/>
              </w:rPr>
              <w:br/>
              <w:t>Minimalne parametry techniczne:</w:t>
            </w:r>
            <w:r w:rsidRPr="00F4000D">
              <w:rPr>
                <w:rFonts w:asciiTheme="majorHAnsi" w:hAnsiTheme="majorHAnsi" w:cstheme="majorHAnsi"/>
                <w:color w:val="000000" w:themeColor="text1"/>
                <w:sz w:val="24"/>
                <w:szCs w:val="24"/>
                <w:lang w:val="pl-PL"/>
              </w:rPr>
              <w:br/>
              <w:t>Korpus i gryf: Drewno lipy</w:t>
            </w:r>
            <w:r w:rsidRPr="00F4000D">
              <w:rPr>
                <w:rFonts w:asciiTheme="majorHAnsi" w:hAnsiTheme="majorHAnsi" w:cstheme="majorHAnsi"/>
                <w:color w:val="000000" w:themeColor="text1"/>
                <w:sz w:val="24"/>
                <w:szCs w:val="24"/>
                <w:lang w:val="pl-PL"/>
              </w:rPr>
              <w:br/>
              <w:t>Podstrunnica: drewno klonowe poddane obróbce termicznej</w:t>
            </w:r>
            <w:r w:rsidRPr="00F4000D">
              <w:rPr>
                <w:rFonts w:asciiTheme="majorHAnsi" w:hAnsiTheme="majorHAnsi" w:cstheme="majorHAnsi"/>
                <w:color w:val="000000" w:themeColor="text1"/>
                <w:sz w:val="24"/>
                <w:szCs w:val="24"/>
                <w:lang w:val="pl-PL"/>
              </w:rPr>
              <w:br/>
              <w:t>Ilość progów: 12</w:t>
            </w:r>
            <w:r w:rsidRPr="00F4000D">
              <w:rPr>
                <w:rFonts w:asciiTheme="majorHAnsi" w:hAnsiTheme="majorHAnsi" w:cstheme="majorHAnsi"/>
                <w:color w:val="000000" w:themeColor="text1"/>
                <w:sz w:val="24"/>
                <w:szCs w:val="24"/>
                <w:lang w:val="pl-PL"/>
              </w:rPr>
              <w:br/>
              <w:t>Menzura: 348 mm</w:t>
            </w:r>
            <w:r w:rsidRPr="00F4000D">
              <w:rPr>
                <w:rFonts w:asciiTheme="majorHAnsi" w:hAnsiTheme="majorHAnsi" w:cstheme="majorHAnsi"/>
                <w:color w:val="000000" w:themeColor="text1"/>
                <w:sz w:val="24"/>
                <w:szCs w:val="24"/>
                <w:lang w:val="pl-PL"/>
              </w:rPr>
              <w:br/>
              <w:t>Siodełko: 35 mm</w:t>
            </w:r>
            <w:r w:rsidRPr="00F4000D">
              <w:rPr>
                <w:rFonts w:asciiTheme="majorHAnsi" w:hAnsiTheme="majorHAnsi" w:cstheme="majorHAnsi"/>
                <w:color w:val="000000" w:themeColor="text1"/>
                <w:sz w:val="24"/>
                <w:szCs w:val="24"/>
                <w:lang w:val="pl-PL"/>
              </w:rPr>
              <w:br/>
              <w:t>Długość całkowita: 53 cm</w:t>
            </w:r>
            <w:r w:rsidRPr="00F4000D">
              <w:rPr>
                <w:rFonts w:asciiTheme="majorHAnsi" w:hAnsiTheme="majorHAnsi" w:cstheme="majorHAnsi"/>
                <w:color w:val="000000" w:themeColor="text1"/>
                <w:sz w:val="24"/>
                <w:szCs w:val="24"/>
                <w:lang w:val="pl-PL"/>
              </w:rPr>
              <w:br/>
              <w:t>Pokrowiec: w zestawie</w:t>
            </w:r>
            <w:r w:rsidRPr="00F4000D">
              <w:rPr>
                <w:rFonts w:asciiTheme="majorHAnsi" w:hAnsiTheme="majorHAnsi" w:cstheme="majorHAnsi"/>
                <w:color w:val="000000" w:themeColor="text1"/>
                <w:sz w:val="24"/>
                <w:szCs w:val="24"/>
                <w:lang w:val="pl-PL"/>
              </w:rPr>
              <w:br/>
              <w:t>Gwarancja: 24 miesiące</w:t>
            </w:r>
            <w:r w:rsidR="00982048">
              <w:rPr>
                <w:rFonts w:asciiTheme="majorHAnsi" w:hAnsiTheme="majorHAnsi" w:cstheme="majorHAnsi"/>
                <w:color w:val="000000" w:themeColor="text1"/>
                <w:sz w:val="24"/>
                <w:szCs w:val="24"/>
                <w:lang w:val="pl-PL"/>
              </w:rPr>
              <w:t>.</w:t>
            </w:r>
          </w:p>
        </w:tc>
      </w:tr>
      <w:tr w:rsidR="0055541E" w:rsidRPr="00F4000D" w14:paraId="42E39069" w14:textId="77777777" w:rsidTr="005A0213">
        <w:trPr>
          <w:jc w:val="center"/>
        </w:trPr>
        <w:tc>
          <w:tcPr>
            <w:tcW w:w="606" w:type="dxa"/>
          </w:tcPr>
          <w:p w14:paraId="7FCD3E9F"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8</w:t>
            </w:r>
          </w:p>
        </w:tc>
        <w:tc>
          <w:tcPr>
            <w:tcW w:w="3051" w:type="dxa"/>
          </w:tcPr>
          <w:p w14:paraId="7FE8523E"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Skrzynka perkusyjna - drewniany instrument perkusyjny</w:t>
            </w:r>
          </w:p>
        </w:tc>
        <w:tc>
          <w:tcPr>
            <w:tcW w:w="871" w:type="dxa"/>
          </w:tcPr>
          <w:p w14:paraId="0EA817BA"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5</w:t>
            </w:r>
          </w:p>
        </w:tc>
        <w:tc>
          <w:tcPr>
            <w:tcW w:w="5167" w:type="dxa"/>
          </w:tcPr>
          <w:p w14:paraId="61A2F024" w14:textId="1880F63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Korpus wykonany z wytrzymałej sklejki, a powierzchnia do grania z wierzby, co gwarantuje dźwięki o bogatej tonacji. Dodatkowym efektem dźwiękowym są struny, które zapewniają efekt werbla podczas gry. Instrument ma kompaktowe wymiary i wagę poniżej 4 kg, dzięki czemu jest łatwy do przenoszenia i idealny do występów na scenie oraz w plenerze. W zestawie znajduje się również praktyczny pokrowiec, co ułatwia transport i przechowywanie. To narzędzie muzyczne, które spełni oczekiwania zarówno początkujących, jak i zaawansowanych muzyków.</w:t>
            </w:r>
            <w:r w:rsidRPr="00F4000D">
              <w:rPr>
                <w:rFonts w:asciiTheme="majorHAnsi" w:hAnsiTheme="majorHAnsi" w:cstheme="majorHAnsi"/>
                <w:color w:val="000000" w:themeColor="text1"/>
                <w:sz w:val="24"/>
                <w:szCs w:val="24"/>
                <w:lang w:val="pl-PL"/>
              </w:rPr>
              <w:br/>
              <w:t>Minimalne parametry techniczne:</w:t>
            </w:r>
            <w:r w:rsidRPr="00F4000D">
              <w:rPr>
                <w:rFonts w:asciiTheme="majorHAnsi" w:hAnsiTheme="majorHAnsi" w:cstheme="majorHAnsi"/>
                <w:color w:val="000000" w:themeColor="text1"/>
                <w:sz w:val="24"/>
                <w:szCs w:val="24"/>
                <w:lang w:val="pl-PL"/>
              </w:rPr>
              <w:br/>
              <w:t>Materiał korpusu: Sklejka</w:t>
            </w:r>
            <w:r w:rsidRPr="00F4000D">
              <w:rPr>
                <w:rFonts w:asciiTheme="majorHAnsi" w:hAnsiTheme="majorHAnsi" w:cstheme="majorHAnsi"/>
                <w:color w:val="000000" w:themeColor="text1"/>
                <w:sz w:val="24"/>
                <w:szCs w:val="24"/>
                <w:lang w:val="pl-PL"/>
              </w:rPr>
              <w:br/>
              <w:t>Materiał powierzchni do gry: Wierzba</w:t>
            </w:r>
            <w:r w:rsidRPr="00F4000D">
              <w:rPr>
                <w:rFonts w:asciiTheme="majorHAnsi" w:hAnsiTheme="majorHAnsi" w:cstheme="majorHAnsi"/>
                <w:color w:val="000000" w:themeColor="text1"/>
                <w:sz w:val="24"/>
                <w:szCs w:val="24"/>
                <w:lang w:val="pl-PL"/>
              </w:rPr>
              <w:br/>
              <w:t>Efekt werbla: Tak</w:t>
            </w:r>
            <w:r w:rsidRPr="00F4000D">
              <w:rPr>
                <w:rFonts w:asciiTheme="majorHAnsi" w:hAnsiTheme="majorHAnsi" w:cstheme="majorHAnsi"/>
                <w:color w:val="000000" w:themeColor="text1"/>
                <w:sz w:val="24"/>
                <w:szCs w:val="24"/>
                <w:lang w:val="pl-PL"/>
              </w:rPr>
              <w:br/>
              <w:t>Antypoślizgowe gumowe nóżki: Tak</w:t>
            </w:r>
            <w:r w:rsidRPr="00F4000D">
              <w:rPr>
                <w:rFonts w:asciiTheme="majorHAnsi" w:hAnsiTheme="majorHAnsi" w:cstheme="majorHAnsi"/>
                <w:color w:val="000000" w:themeColor="text1"/>
                <w:sz w:val="24"/>
                <w:szCs w:val="24"/>
                <w:lang w:val="pl-PL"/>
              </w:rPr>
              <w:br/>
              <w:t>Wymiary: 48 x 30 x 30 cm</w:t>
            </w:r>
            <w:r w:rsidRPr="00F4000D">
              <w:rPr>
                <w:rFonts w:asciiTheme="majorHAnsi" w:hAnsiTheme="majorHAnsi" w:cstheme="majorHAnsi"/>
                <w:color w:val="000000" w:themeColor="text1"/>
                <w:sz w:val="24"/>
                <w:szCs w:val="24"/>
                <w:lang w:val="pl-PL"/>
              </w:rPr>
              <w:br/>
              <w:t>Pokrowiec w zestawie: Tak</w:t>
            </w:r>
          </w:p>
        </w:tc>
      </w:tr>
      <w:tr w:rsidR="0055541E" w:rsidRPr="00F4000D" w14:paraId="48A70BBE" w14:textId="77777777" w:rsidTr="005A0213">
        <w:trPr>
          <w:jc w:val="center"/>
        </w:trPr>
        <w:tc>
          <w:tcPr>
            <w:tcW w:w="606" w:type="dxa"/>
          </w:tcPr>
          <w:p w14:paraId="2F27E53C"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9</w:t>
            </w:r>
          </w:p>
        </w:tc>
        <w:tc>
          <w:tcPr>
            <w:tcW w:w="3051" w:type="dxa"/>
          </w:tcPr>
          <w:p w14:paraId="28920784"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Instrument perkusyjny - bębny o cylindrycznym kształcie</w:t>
            </w:r>
          </w:p>
        </w:tc>
        <w:tc>
          <w:tcPr>
            <w:tcW w:w="871" w:type="dxa"/>
          </w:tcPr>
          <w:p w14:paraId="053708D5"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167" w:type="dxa"/>
          </w:tcPr>
          <w:p w14:paraId="2B5A777F" w14:textId="2672682F"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Rozmiary bębnów: 10" i 11"</w:t>
            </w:r>
            <w:r w:rsidRPr="00F4000D">
              <w:rPr>
                <w:rFonts w:asciiTheme="majorHAnsi" w:hAnsiTheme="majorHAnsi" w:cstheme="majorHAnsi"/>
                <w:color w:val="000000" w:themeColor="text1"/>
                <w:sz w:val="24"/>
                <w:szCs w:val="24"/>
                <w:lang w:val="pl-PL"/>
              </w:rPr>
              <w:br/>
              <w:t>Wysokość: około 28"</w:t>
            </w:r>
            <w:r w:rsidRPr="00F4000D">
              <w:rPr>
                <w:rFonts w:asciiTheme="majorHAnsi" w:hAnsiTheme="majorHAnsi" w:cstheme="majorHAnsi"/>
                <w:color w:val="000000" w:themeColor="text1"/>
                <w:sz w:val="24"/>
                <w:szCs w:val="24"/>
                <w:lang w:val="pl-PL"/>
              </w:rPr>
              <w:br/>
              <w:t>Wykonane w klasycznej konstrukcji drewnianej beczki</w:t>
            </w:r>
            <w:r w:rsidRPr="00F4000D">
              <w:rPr>
                <w:rFonts w:asciiTheme="majorHAnsi" w:hAnsiTheme="majorHAnsi" w:cstheme="majorHAnsi"/>
                <w:color w:val="000000" w:themeColor="text1"/>
                <w:sz w:val="24"/>
                <w:szCs w:val="24"/>
                <w:lang w:val="pl-PL"/>
              </w:rPr>
              <w:br/>
              <w:t>Muszle dwuwarstwowe z mahoniu</w:t>
            </w:r>
            <w:r w:rsidRPr="00F4000D">
              <w:rPr>
                <w:rFonts w:asciiTheme="majorHAnsi" w:hAnsiTheme="majorHAnsi" w:cstheme="majorHAnsi"/>
                <w:color w:val="000000" w:themeColor="text1"/>
                <w:sz w:val="24"/>
                <w:szCs w:val="24"/>
                <w:lang w:val="pl-PL"/>
              </w:rPr>
              <w:br/>
              <w:t>Obręcze i osprzęt malowane proszkowo na kolor czarny</w:t>
            </w:r>
            <w:r w:rsidRPr="00F4000D">
              <w:rPr>
                <w:rFonts w:asciiTheme="majorHAnsi" w:hAnsiTheme="majorHAnsi" w:cstheme="majorHAnsi"/>
                <w:color w:val="000000" w:themeColor="text1"/>
                <w:sz w:val="24"/>
                <w:szCs w:val="24"/>
                <w:lang w:val="pl-PL"/>
              </w:rPr>
              <w:br/>
              <w:t>Zaokrąglone obręcze o grubości około 2 mm</w:t>
            </w:r>
            <w:r w:rsidRPr="00F4000D">
              <w:rPr>
                <w:rFonts w:asciiTheme="majorHAnsi" w:hAnsiTheme="majorHAnsi" w:cstheme="majorHAnsi"/>
                <w:color w:val="000000" w:themeColor="text1"/>
                <w:sz w:val="24"/>
                <w:szCs w:val="24"/>
                <w:lang w:val="pl-PL"/>
              </w:rPr>
              <w:br/>
              <w:t>Pręty napinające o średnicy około 8 mm</w:t>
            </w:r>
            <w:r w:rsidRPr="00F4000D">
              <w:rPr>
                <w:rFonts w:asciiTheme="majorHAnsi" w:hAnsiTheme="majorHAnsi" w:cstheme="majorHAnsi"/>
                <w:color w:val="000000" w:themeColor="text1"/>
                <w:sz w:val="24"/>
                <w:szCs w:val="24"/>
                <w:lang w:val="pl-PL"/>
              </w:rPr>
              <w:br/>
              <w:t>Naturalne naciągi bębnów (skóra bydlęca)</w:t>
            </w:r>
            <w:r w:rsidRPr="00F4000D">
              <w:rPr>
                <w:rFonts w:asciiTheme="majorHAnsi" w:hAnsiTheme="majorHAnsi" w:cstheme="majorHAnsi"/>
                <w:color w:val="000000" w:themeColor="text1"/>
                <w:sz w:val="24"/>
                <w:szCs w:val="24"/>
                <w:lang w:val="pl-PL"/>
              </w:rPr>
              <w:br/>
              <w:t>W komplecie stojak z regulacją wysokości</w:t>
            </w:r>
            <w:r w:rsidR="00982048">
              <w:rPr>
                <w:rFonts w:asciiTheme="majorHAnsi" w:hAnsiTheme="majorHAnsi" w:cstheme="majorHAnsi"/>
                <w:color w:val="000000" w:themeColor="text1"/>
                <w:sz w:val="24"/>
                <w:szCs w:val="24"/>
                <w:lang w:val="pl-PL"/>
              </w:rPr>
              <w:t>.</w:t>
            </w:r>
          </w:p>
        </w:tc>
      </w:tr>
      <w:tr w:rsidR="0055541E" w:rsidRPr="00F4000D" w14:paraId="7965440A" w14:textId="77777777" w:rsidTr="005A0213">
        <w:trPr>
          <w:jc w:val="center"/>
        </w:trPr>
        <w:tc>
          <w:tcPr>
            <w:tcW w:w="606" w:type="dxa"/>
          </w:tcPr>
          <w:p w14:paraId="4B7A523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10</w:t>
            </w:r>
          </w:p>
        </w:tc>
        <w:tc>
          <w:tcPr>
            <w:tcW w:w="3051" w:type="dxa"/>
          </w:tcPr>
          <w:p w14:paraId="2EB1BC50" w14:textId="77777777" w:rsidR="00372C08" w:rsidRPr="00F4000D" w:rsidRDefault="000B756A" w:rsidP="00982048">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Instrument perkusyjny - duży pojedynczy bęben w </w:t>
            </w:r>
            <w:r w:rsidRPr="00F4000D">
              <w:rPr>
                <w:rFonts w:asciiTheme="majorHAnsi" w:hAnsiTheme="majorHAnsi" w:cstheme="majorHAnsi"/>
                <w:color w:val="000000" w:themeColor="text1"/>
                <w:sz w:val="24"/>
                <w:szCs w:val="24"/>
                <w:lang w:val="pl-PL"/>
              </w:rPr>
              <w:lastRenderedPageBreak/>
              <w:t>kształcie kielicha</w:t>
            </w:r>
          </w:p>
        </w:tc>
        <w:tc>
          <w:tcPr>
            <w:tcW w:w="871" w:type="dxa"/>
          </w:tcPr>
          <w:p w14:paraId="73920DD8"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4</w:t>
            </w:r>
          </w:p>
        </w:tc>
        <w:tc>
          <w:tcPr>
            <w:tcW w:w="5167" w:type="dxa"/>
          </w:tcPr>
          <w:p w14:paraId="452A0DEE"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 xml:space="preserve">Materiał: drewno </w:t>
            </w:r>
            <w:proofErr w:type="spellStart"/>
            <w:r w:rsidRPr="00F4000D">
              <w:rPr>
                <w:rFonts w:asciiTheme="majorHAnsi" w:hAnsiTheme="majorHAnsi" w:cstheme="majorHAnsi"/>
                <w:color w:val="000000" w:themeColor="text1"/>
                <w:sz w:val="24"/>
                <w:szCs w:val="24"/>
                <w:lang w:val="pl-PL"/>
              </w:rPr>
              <w:t>Gmelina</w:t>
            </w:r>
            <w:proofErr w:type="spellEnd"/>
            <w:r w:rsidRPr="00F4000D">
              <w:rPr>
                <w:rFonts w:asciiTheme="majorHAnsi" w:hAnsiTheme="majorHAnsi" w:cstheme="majorHAnsi"/>
                <w:color w:val="000000" w:themeColor="text1"/>
                <w:sz w:val="24"/>
                <w:szCs w:val="24"/>
                <w:lang w:val="pl-PL"/>
              </w:rPr>
              <w:br/>
              <w:t>Średnica powierzchni uderzającej: ok. 32cm</w:t>
            </w:r>
            <w:r w:rsidRPr="00F4000D">
              <w:rPr>
                <w:rFonts w:asciiTheme="majorHAnsi" w:hAnsiTheme="majorHAnsi" w:cstheme="majorHAnsi"/>
                <w:color w:val="000000" w:themeColor="text1"/>
                <w:sz w:val="24"/>
                <w:szCs w:val="24"/>
                <w:lang w:val="pl-PL"/>
              </w:rPr>
              <w:br/>
            </w:r>
            <w:r w:rsidRPr="00F4000D">
              <w:rPr>
                <w:rFonts w:asciiTheme="majorHAnsi" w:hAnsiTheme="majorHAnsi" w:cstheme="majorHAnsi"/>
                <w:color w:val="000000" w:themeColor="text1"/>
                <w:sz w:val="24"/>
                <w:szCs w:val="24"/>
                <w:lang w:val="pl-PL"/>
              </w:rPr>
              <w:lastRenderedPageBreak/>
              <w:t>Wysokość: ok. 60 cm</w:t>
            </w:r>
            <w:r w:rsidRPr="00F4000D">
              <w:rPr>
                <w:rFonts w:asciiTheme="majorHAnsi" w:hAnsiTheme="majorHAnsi" w:cstheme="majorHAnsi"/>
                <w:color w:val="000000" w:themeColor="text1"/>
                <w:sz w:val="24"/>
                <w:szCs w:val="24"/>
                <w:lang w:val="pl-PL"/>
              </w:rPr>
              <w:br/>
              <w:t>Skóra: kozia skóra</w:t>
            </w:r>
            <w:r w:rsidRPr="00F4000D">
              <w:rPr>
                <w:rFonts w:asciiTheme="majorHAnsi" w:hAnsiTheme="majorHAnsi" w:cstheme="majorHAnsi"/>
                <w:color w:val="000000" w:themeColor="text1"/>
                <w:sz w:val="24"/>
                <w:szCs w:val="24"/>
                <w:lang w:val="pl-PL"/>
              </w:rPr>
              <w:br/>
              <w:t>Naciąg strun</w:t>
            </w:r>
          </w:p>
        </w:tc>
      </w:tr>
      <w:tr w:rsidR="0055541E" w:rsidRPr="00F4000D" w14:paraId="4463C6DF" w14:textId="77777777" w:rsidTr="005A0213">
        <w:trPr>
          <w:jc w:val="center"/>
        </w:trPr>
        <w:tc>
          <w:tcPr>
            <w:tcW w:w="606" w:type="dxa"/>
          </w:tcPr>
          <w:p w14:paraId="3CF03901"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lastRenderedPageBreak/>
              <w:t>11</w:t>
            </w:r>
          </w:p>
        </w:tc>
        <w:tc>
          <w:tcPr>
            <w:tcW w:w="3051" w:type="dxa"/>
          </w:tcPr>
          <w:p w14:paraId="66C7C17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Gitara elektryczna</w:t>
            </w:r>
          </w:p>
        </w:tc>
        <w:tc>
          <w:tcPr>
            <w:tcW w:w="871" w:type="dxa"/>
          </w:tcPr>
          <w:p w14:paraId="1856C85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w:t>
            </w:r>
          </w:p>
        </w:tc>
        <w:tc>
          <w:tcPr>
            <w:tcW w:w="5167" w:type="dxa"/>
          </w:tcPr>
          <w:p w14:paraId="54510CC5"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Gitara typu Western</w:t>
            </w:r>
            <w:r w:rsidRPr="00F4000D">
              <w:rPr>
                <w:rFonts w:asciiTheme="majorHAnsi" w:hAnsiTheme="majorHAnsi" w:cstheme="majorHAnsi"/>
                <w:color w:val="000000" w:themeColor="text1"/>
                <w:sz w:val="24"/>
                <w:szCs w:val="24"/>
                <w:lang w:val="pl-PL"/>
              </w:rPr>
              <w:br/>
              <w:t>Parametry minimalne:</w:t>
            </w:r>
            <w:r w:rsidRPr="00F4000D">
              <w:rPr>
                <w:rFonts w:asciiTheme="majorHAnsi" w:hAnsiTheme="majorHAnsi" w:cstheme="majorHAnsi"/>
                <w:color w:val="000000" w:themeColor="text1"/>
                <w:sz w:val="24"/>
                <w:szCs w:val="24"/>
                <w:lang w:val="pl-PL"/>
              </w:rPr>
              <w:br/>
              <w:t xml:space="preserve">Typ: </w:t>
            </w:r>
            <w:proofErr w:type="spellStart"/>
            <w:r w:rsidRPr="00F4000D">
              <w:rPr>
                <w:rFonts w:asciiTheme="majorHAnsi" w:hAnsiTheme="majorHAnsi" w:cstheme="majorHAnsi"/>
                <w:color w:val="000000" w:themeColor="text1"/>
                <w:sz w:val="24"/>
                <w:szCs w:val="24"/>
                <w:lang w:val="pl-PL"/>
              </w:rPr>
              <w:t>Dreadnought</w:t>
            </w:r>
            <w:proofErr w:type="spellEnd"/>
            <w:r w:rsidRPr="00F4000D">
              <w:rPr>
                <w:rFonts w:asciiTheme="majorHAnsi" w:hAnsiTheme="majorHAnsi" w:cstheme="majorHAnsi"/>
                <w:color w:val="000000" w:themeColor="text1"/>
                <w:sz w:val="24"/>
                <w:szCs w:val="24"/>
                <w:lang w:val="pl-PL"/>
              </w:rPr>
              <w:t xml:space="preserve"> z </w:t>
            </w:r>
            <w:proofErr w:type="spellStart"/>
            <w:r w:rsidRPr="00F4000D">
              <w:rPr>
                <w:rFonts w:asciiTheme="majorHAnsi" w:hAnsiTheme="majorHAnsi" w:cstheme="majorHAnsi"/>
                <w:color w:val="000000" w:themeColor="text1"/>
                <w:sz w:val="24"/>
                <w:szCs w:val="24"/>
                <w:lang w:val="pl-PL"/>
              </w:rPr>
              <w:t>Cutaway</w:t>
            </w:r>
            <w:proofErr w:type="spellEnd"/>
            <w:r w:rsidRPr="00F4000D">
              <w:rPr>
                <w:rFonts w:asciiTheme="majorHAnsi" w:hAnsiTheme="majorHAnsi" w:cstheme="majorHAnsi"/>
                <w:color w:val="000000" w:themeColor="text1"/>
                <w:sz w:val="24"/>
                <w:szCs w:val="24"/>
                <w:lang w:val="pl-PL"/>
              </w:rPr>
              <w:br/>
              <w:t>Deck: świerk</w:t>
            </w:r>
            <w:r w:rsidRPr="00F4000D">
              <w:rPr>
                <w:rFonts w:asciiTheme="majorHAnsi" w:hAnsiTheme="majorHAnsi" w:cstheme="majorHAnsi"/>
                <w:color w:val="000000" w:themeColor="text1"/>
                <w:sz w:val="24"/>
                <w:szCs w:val="24"/>
                <w:lang w:val="pl-PL"/>
              </w:rPr>
              <w:br/>
              <w:t>Spód i rama: mahoń</w:t>
            </w:r>
            <w:r w:rsidRPr="00F4000D">
              <w:rPr>
                <w:rFonts w:asciiTheme="majorHAnsi" w:hAnsiTheme="majorHAnsi" w:cstheme="majorHAnsi"/>
                <w:color w:val="000000" w:themeColor="text1"/>
                <w:sz w:val="24"/>
                <w:szCs w:val="24"/>
                <w:lang w:val="pl-PL"/>
              </w:rPr>
              <w:br/>
              <w:t>Szyjka: mahoń</w:t>
            </w:r>
            <w:r w:rsidRPr="00F4000D">
              <w:rPr>
                <w:rFonts w:asciiTheme="majorHAnsi" w:hAnsiTheme="majorHAnsi" w:cstheme="majorHAnsi"/>
                <w:color w:val="000000" w:themeColor="text1"/>
                <w:sz w:val="24"/>
                <w:szCs w:val="24"/>
                <w:lang w:val="pl-PL"/>
              </w:rPr>
              <w:br/>
              <w:t xml:space="preserve">Podstrunnica: </w:t>
            </w:r>
            <w:proofErr w:type="spellStart"/>
            <w:r w:rsidRPr="00F4000D">
              <w:rPr>
                <w:rFonts w:asciiTheme="majorHAnsi" w:hAnsiTheme="majorHAnsi" w:cstheme="majorHAnsi"/>
                <w:color w:val="000000" w:themeColor="text1"/>
                <w:sz w:val="24"/>
                <w:szCs w:val="24"/>
                <w:lang w:val="pl-PL"/>
              </w:rPr>
              <w:t>jatoba</w:t>
            </w:r>
            <w:proofErr w:type="spellEnd"/>
            <w:r w:rsidRPr="00F4000D">
              <w:rPr>
                <w:rFonts w:asciiTheme="majorHAnsi" w:hAnsiTheme="majorHAnsi" w:cstheme="majorHAnsi"/>
                <w:color w:val="000000" w:themeColor="text1"/>
                <w:sz w:val="24"/>
                <w:szCs w:val="24"/>
                <w:lang w:val="pl-PL"/>
              </w:rPr>
              <w:br/>
              <w:t>Profil szyjki: C</w:t>
            </w:r>
            <w:r w:rsidRPr="00F4000D">
              <w:rPr>
                <w:rFonts w:asciiTheme="majorHAnsi" w:hAnsiTheme="majorHAnsi" w:cstheme="majorHAnsi"/>
                <w:color w:val="000000" w:themeColor="text1"/>
                <w:sz w:val="24"/>
                <w:szCs w:val="24"/>
                <w:lang w:val="pl-PL"/>
              </w:rPr>
              <w:br/>
              <w:t xml:space="preserve">Łączenie szyjki: </w:t>
            </w:r>
            <w:proofErr w:type="spellStart"/>
            <w:r w:rsidRPr="00F4000D">
              <w:rPr>
                <w:rFonts w:asciiTheme="majorHAnsi" w:hAnsiTheme="majorHAnsi" w:cstheme="majorHAnsi"/>
                <w:color w:val="000000" w:themeColor="text1"/>
                <w:sz w:val="24"/>
                <w:szCs w:val="24"/>
                <w:lang w:val="pl-PL"/>
              </w:rPr>
              <w:t>Dovetail</w:t>
            </w:r>
            <w:proofErr w:type="spellEnd"/>
            <w:r w:rsidRPr="00F4000D">
              <w:rPr>
                <w:rFonts w:asciiTheme="majorHAnsi" w:hAnsiTheme="majorHAnsi" w:cstheme="majorHAnsi"/>
                <w:color w:val="000000" w:themeColor="text1"/>
                <w:sz w:val="24"/>
                <w:szCs w:val="24"/>
                <w:lang w:val="pl-PL"/>
              </w:rPr>
              <w:br/>
              <w:t xml:space="preserve">Kremowy </w:t>
            </w:r>
            <w:proofErr w:type="spellStart"/>
            <w:r w:rsidRPr="00F4000D">
              <w:rPr>
                <w:rFonts w:asciiTheme="majorHAnsi" w:hAnsiTheme="majorHAnsi" w:cstheme="majorHAnsi"/>
                <w:color w:val="000000" w:themeColor="text1"/>
                <w:sz w:val="24"/>
                <w:szCs w:val="24"/>
                <w:lang w:val="pl-PL"/>
              </w:rPr>
              <w:t>Binding</w:t>
            </w:r>
            <w:proofErr w:type="spellEnd"/>
            <w:r w:rsidRPr="00F4000D">
              <w:rPr>
                <w:rFonts w:asciiTheme="majorHAnsi" w:hAnsiTheme="majorHAnsi" w:cstheme="majorHAnsi"/>
                <w:color w:val="000000" w:themeColor="text1"/>
                <w:sz w:val="24"/>
                <w:szCs w:val="24"/>
                <w:lang w:val="pl-PL"/>
              </w:rPr>
              <w:t xml:space="preserve"> korpusu i szyjki</w:t>
            </w:r>
            <w:r w:rsidRPr="00F4000D">
              <w:rPr>
                <w:rFonts w:asciiTheme="majorHAnsi" w:hAnsiTheme="majorHAnsi" w:cstheme="majorHAnsi"/>
                <w:color w:val="000000" w:themeColor="text1"/>
                <w:sz w:val="24"/>
                <w:szCs w:val="24"/>
                <w:lang w:val="pl-PL"/>
              </w:rPr>
              <w:br/>
              <w:t>Progi: 20</w:t>
            </w:r>
            <w:r w:rsidRPr="00F4000D">
              <w:rPr>
                <w:rFonts w:asciiTheme="majorHAnsi" w:hAnsiTheme="majorHAnsi" w:cstheme="majorHAnsi"/>
                <w:color w:val="000000" w:themeColor="text1"/>
                <w:sz w:val="24"/>
                <w:szCs w:val="24"/>
                <w:lang w:val="pl-PL"/>
              </w:rPr>
              <w:br/>
              <w:t>Menzura: 650 mm</w:t>
            </w:r>
            <w:r w:rsidRPr="00F4000D">
              <w:rPr>
                <w:rFonts w:asciiTheme="majorHAnsi" w:hAnsiTheme="majorHAnsi" w:cstheme="majorHAnsi"/>
                <w:color w:val="000000" w:themeColor="text1"/>
                <w:sz w:val="24"/>
                <w:szCs w:val="24"/>
                <w:lang w:val="pl-PL"/>
              </w:rPr>
              <w:br/>
              <w:t>Szerokość siodełka: 42,5 mm</w:t>
            </w:r>
            <w:r w:rsidRPr="00F4000D">
              <w:rPr>
                <w:rFonts w:asciiTheme="majorHAnsi" w:hAnsiTheme="majorHAnsi" w:cstheme="majorHAnsi"/>
                <w:color w:val="000000" w:themeColor="text1"/>
                <w:sz w:val="24"/>
                <w:szCs w:val="24"/>
                <w:lang w:val="pl-PL"/>
              </w:rPr>
              <w:br/>
              <w:t>Inkrustacje podstrunnicy w formie kropek</w:t>
            </w:r>
            <w:r w:rsidRPr="00F4000D">
              <w:rPr>
                <w:rFonts w:asciiTheme="majorHAnsi" w:hAnsiTheme="majorHAnsi" w:cstheme="majorHAnsi"/>
                <w:color w:val="000000" w:themeColor="text1"/>
                <w:sz w:val="24"/>
                <w:szCs w:val="24"/>
                <w:lang w:val="pl-PL"/>
              </w:rPr>
              <w:br/>
              <w:t xml:space="preserve">Mostek: </w:t>
            </w:r>
            <w:proofErr w:type="spellStart"/>
            <w:r w:rsidRPr="00F4000D">
              <w:rPr>
                <w:rFonts w:asciiTheme="majorHAnsi" w:hAnsiTheme="majorHAnsi" w:cstheme="majorHAnsi"/>
                <w:color w:val="000000" w:themeColor="text1"/>
                <w:sz w:val="24"/>
                <w:szCs w:val="24"/>
                <w:lang w:val="pl-PL"/>
              </w:rPr>
              <w:t>Roseacer</w:t>
            </w:r>
            <w:proofErr w:type="spellEnd"/>
            <w:r w:rsidRPr="00F4000D">
              <w:rPr>
                <w:rFonts w:asciiTheme="majorHAnsi" w:hAnsiTheme="majorHAnsi" w:cstheme="majorHAnsi"/>
                <w:color w:val="000000" w:themeColor="text1"/>
                <w:sz w:val="24"/>
                <w:szCs w:val="24"/>
                <w:lang w:val="pl-PL"/>
              </w:rPr>
              <w:br/>
              <w:t>Przetwornik z przedwzmacniaczem i 4-pasmowym EQ</w:t>
            </w:r>
            <w:r w:rsidRPr="00F4000D">
              <w:rPr>
                <w:rFonts w:asciiTheme="majorHAnsi" w:hAnsiTheme="majorHAnsi" w:cstheme="majorHAnsi"/>
                <w:color w:val="000000" w:themeColor="text1"/>
                <w:sz w:val="24"/>
                <w:szCs w:val="24"/>
                <w:lang w:val="pl-PL"/>
              </w:rPr>
              <w:br/>
              <w:t xml:space="preserve">Chromowane klucze </w:t>
            </w:r>
            <w:proofErr w:type="spellStart"/>
            <w:r w:rsidRPr="00F4000D">
              <w:rPr>
                <w:rFonts w:asciiTheme="majorHAnsi" w:hAnsiTheme="majorHAnsi" w:cstheme="majorHAnsi"/>
                <w:color w:val="000000" w:themeColor="text1"/>
                <w:sz w:val="24"/>
                <w:szCs w:val="24"/>
                <w:lang w:val="pl-PL"/>
              </w:rPr>
              <w:t>DieCast</w:t>
            </w:r>
            <w:proofErr w:type="spellEnd"/>
            <w:r w:rsidRPr="00F4000D">
              <w:rPr>
                <w:rFonts w:asciiTheme="majorHAnsi" w:hAnsiTheme="majorHAnsi" w:cstheme="majorHAnsi"/>
                <w:color w:val="000000" w:themeColor="text1"/>
                <w:sz w:val="24"/>
                <w:szCs w:val="24"/>
                <w:lang w:val="pl-PL"/>
              </w:rPr>
              <w:br/>
              <w:t>Grubość strun fabrycznych: .012 - .053</w:t>
            </w:r>
            <w:r w:rsidRPr="00F4000D">
              <w:rPr>
                <w:rFonts w:asciiTheme="majorHAnsi" w:hAnsiTheme="majorHAnsi" w:cstheme="majorHAnsi"/>
                <w:color w:val="000000" w:themeColor="text1"/>
                <w:sz w:val="24"/>
                <w:szCs w:val="24"/>
                <w:lang w:val="pl-PL"/>
              </w:rPr>
              <w:br/>
              <w:t>Kolor: naturalny, wysoki połysk</w:t>
            </w:r>
          </w:p>
        </w:tc>
      </w:tr>
      <w:tr w:rsidR="0055541E" w:rsidRPr="00F4000D" w14:paraId="7921B0D7" w14:textId="77777777" w:rsidTr="005A0213">
        <w:trPr>
          <w:jc w:val="center"/>
        </w:trPr>
        <w:tc>
          <w:tcPr>
            <w:tcW w:w="606" w:type="dxa"/>
          </w:tcPr>
          <w:p w14:paraId="42D122AB"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12</w:t>
            </w:r>
          </w:p>
        </w:tc>
        <w:tc>
          <w:tcPr>
            <w:tcW w:w="3051" w:type="dxa"/>
          </w:tcPr>
          <w:p w14:paraId="6C2BC2C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Ukulele basowe</w:t>
            </w:r>
          </w:p>
        </w:tc>
        <w:tc>
          <w:tcPr>
            <w:tcW w:w="871" w:type="dxa"/>
          </w:tcPr>
          <w:p w14:paraId="65DD13A7"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w:t>
            </w:r>
          </w:p>
        </w:tc>
        <w:tc>
          <w:tcPr>
            <w:tcW w:w="5167" w:type="dxa"/>
          </w:tcPr>
          <w:p w14:paraId="6D47DE22" w14:textId="77777777"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Ukulele basowe A/E</w:t>
            </w:r>
            <w:r w:rsidRPr="00F4000D">
              <w:rPr>
                <w:rFonts w:asciiTheme="majorHAnsi" w:hAnsiTheme="majorHAnsi" w:cstheme="majorHAnsi"/>
                <w:color w:val="000000" w:themeColor="text1"/>
                <w:sz w:val="24"/>
                <w:szCs w:val="24"/>
                <w:lang w:val="pl-PL"/>
              </w:rPr>
              <w:br/>
              <w:t>Parametry minimalne:</w:t>
            </w:r>
            <w:r w:rsidRPr="00F4000D">
              <w:rPr>
                <w:rFonts w:asciiTheme="majorHAnsi" w:hAnsiTheme="majorHAnsi" w:cstheme="majorHAnsi"/>
                <w:color w:val="000000" w:themeColor="text1"/>
                <w:sz w:val="24"/>
                <w:szCs w:val="24"/>
                <w:lang w:val="pl-PL"/>
              </w:rPr>
              <w:br/>
              <w:t>Mahoniowy korpus</w:t>
            </w:r>
            <w:r w:rsidRPr="00F4000D">
              <w:rPr>
                <w:rFonts w:asciiTheme="majorHAnsi" w:hAnsiTheme="majorHAnsi" w:cstheme="majorHAnsi"/>
                <w:color w:val="000000" w:themeColor="text1"/>
                <w:sz w:val="24"/>
                <w:szCs w:val="24"/>
                <w:lang w:val="pl-PL"/>
              </w:rPr>
              <w:br/>
              <w:t>Szyjka: mahoń</w:t>
            </w:r>
            <w:r w:rsidRPr="00F4000D">
              <w:rPr>
                <w:rFonts w:asciiTheme="majorHAnsi" w:hAnsiTheme="majorHAnsi" w:cstheme="majorHAnsi"/>
                <w:color w:val="000000" w:themeColor="text1"/>
                <w:sz w:val="24"/>
                <w:szCs w:val="24"/>
                <w:lang w:val="pl-PL"/>
              </w:rPr>
              <w:br/>
              <w:t xml:space="preserve">Podstrunnica: Purple </w:t>
            </w:r>
            <w:proofErr w:type="spellStart"/>
            <w:r w:rsidRPr="00F4000D">
              <w:rPr>
                <w:rFonts w:asciiTheme="majorHAnsi" w:hAnsiTheme="majorHAnsi" w:cstheme="majorHAnsi"/>
                <w:color w:val="000000" w:themeColor="text1"/>
                <w:sz w:val="24"/>
                <w:szCs w:val="24"/>
                <w:lang w:val="pl-PL"/>
              </w:rPr>
              <w:t>Heart</w:t>
            </w:r>
            <w:proofErr w:type="spellEnd"/>
            <w:r w:rsidRPr="00F4000D">
              <w:rPr>
                <w:rFonts w:asciiTheme="majorHAnsi" w:hAnsiTheme="majorHAnsi" w:cstheme="majorHAnsi"/>
                <w:color w:val="000000" w:themeColor="text1"/>
                <w:sz w:val="24"/>
                <w:szCs w:val="24"/>
                <w:lang w:val="pl-PL"/>
              </w:rPr>
              <w:br/>
              <w:t xml:space="preserve">Kremowy/ biały </w:t>
            </w:r>
            <w:proofErr w:type="spellStart"/>
            <w:r w:rsidRPr="00F4000D">
              <w:rPr>
                <w:rFonts w:asciiTheme="majorHAnsi" w:hAnsiTheme="majorHAnsi" w:cstheme="majorHAnsi"/>
                <w:color w:val="000000" w:themeColor="text1"/>
                <w:sz w:val="24"/>
                <w:szCs w:val="24"/>
                <w:lang w:val="pl-PL"/>
              </w:rPr>
              <w:t>binding</w:t>
            </w:r>
            <w:proofErr w:type="spellEnd"/>
            <w:r w:rsidRPr="00F4000D">
              <w:rPr>
                <w:rFonts w:asciiTheme="majorHAnsi" w:hAnsiTheme="majorHAnsi" w:cstheme="majorHAnsi"/>
                <w:color w:val="000000" w:themeColor="text1"/>
                <w:sz w:val="24"/>
                <w:szCs w:val="24"/>
                <w:lang w:val="pl-PL"/>
              </w:rPr>
              <w:br/>
              <w:t xml:space="preserve">Siodełko </w:t>
            </w:r>
            <w:proofErr w:type="spellStart"/>
            <w:r w:rsidRPr="00F4000D">
              <w:rPr>
                <w:rFonts w:asciiTheme="majorHAnsi" w:hAnsiTheme="majorHAnsi" w:cstheme="majorHAnsi"/>
                <w:color w:val="000000" w:themeColor="text1"/>
                <w:sz w:val="24"/>
                <w:szCs w:val="24"/>
                <w:lang w:val="pl-PL"/>
              </w:rPr>
              <w:t>GraphTech</w:t>
            </w:r>
            <w:proofErr w:type="spellEnd"/>
            <w:r w:rsidRPr="00F4000D">
              <w:rPr>
                <w:rFonts w:asciiTheme="majorHAnsi" w:hAnsiTheme="majorHAnsi" w:cstheme="majorHAnsi"/>
                <w:color w:val="000000" w:themeColor="text1"/>
                <w:sz w:val="24"/>
                <w:szCs w:val="24"/>
                <w:lang w:val="pl-PL"/>
              </w:rPr>
              <w:br/>
              <w:t>Szerokość siodełka: 45 mm</w:t>
            </w:r>
            <w:r w:rsidRPr="00F4000D">
              <w:rPr>
                <w:rFonts w:asciiTheme="majorHAnsi" w:hAnsiTheme="majorHAnsi" w:cstheme="majorHAnsi"/>
                <w:color w:val="000000" w:themeColor="text1"/>
                <w:sz w:val="24"/>
                <w:szCs w:val="24"/>
                <w:lang w:val="pl-PL"/>
              </w:rPr>
              <w:br/>
              <w:t>Menzura: 512 mm</w:t>
            </w:r>
            <w:r w:rsidRPr="00F4000D">
              <w:rPr>
                <w:rFonts w:asciiTheme="majorHAnsi" w:hAnsiTheme="majorHAnsi" w:cstheme="majorHAnsi"/>
                <w:color w:val="000000" w:themeColor="text1"/>
                <w:sz w:val="24"/>
                <w:szCs w:val="24"/>
                <w:lang w:val="pl-PL"/>
              </w:rPr>
              <w:br/>
              <w:t>16 progów Medium</w:t>
            </w:r>
            <w:r w:rsidRPr="00F4000D">
              <w:rPr>
                <w:rFonts w:asciiTheme="majorHAnsi" w:hAnsiTheme="majorHAnsi" w:cstheme="majorHAnsi"/>
                <w:color w:val="000000" w:themeColor="text1"/>
                <w:sz w:val="24"/>
                <w:szCs w:val="24"/>
                <w:lang w:val="pl-PL"/>
              </w:rPr>
              <w:br/>
              <w:t>System przetworników HB Piezo z 3-pasmowym EQ oraz wbudowanym tunerem</w:t>
            </w:r>
            <w:r w:rsidRPr="00F4000D">
              <w:rPr>
                <w:rFonts w:asciiTheme="majorHAnsi" w:hAnsiTheme="majorHAnsi" w:cstheme="majorHAnsi"/>
                <w:color w:val="000000" w:themeColor="text1"/>
                <w:sz w:val="24"/>
                <w:szCs w:val="24"/>
                <w:lang w:val="pl-PL"/>
              </w:rPr>
              <w:br/>
              <w:t>Mostek: orzech włoski</w:t>
            </w:r>
            <w:r w:rsidRPr="00F4000D">
              <w:rPr>
                <w:rFonts w:asciiTheme="majorHAnsi" w:hAnsiTheme="majorHAnsi" w:cstheme="majorHAnsi"/>
                <w:color w:val="000000" w:themeColor="text1"/>
                <w:sz w:val="24"/>
                <w:szCs w:val="24"/>
                <w:lang w:val="pl-PL"/>
              </w:rPr>
              <w:br/>
              <w:t xml:space="preserve">Klucze </w:t>
            </w:r>
            <w:proofErr w:type="spellStart"/>
            <w:r w:rsidRPr="00F4000D">
              <w:rPr>
                <w:rFonts w:asciiTheme="majorHAnsi" w:hAnsiTheme="majorHAnsi" w:cstheme="majorHAnsi"/>
                <w:color w:val="000000" w:themeColor="text1"/>
                <w:sz w:val="24"/>
                <w:szCs w:val="24"/>
                <w:lang w:val="pl-PL"/>
              </w:rPr>
              <w:t>DieCast</w:t>
            </w:r>
            <w:proofErr w:type="spellEnd"/>
            <w:r w:rsidRPr="00F4000D">
              <w:rPr>
                <w:rFonts w:asciiTheme="majorHAnsi" w:hAnsiTheme="majorHAnsi" w:cstheme="majorHAnsi"/>
                <w:color w:val="000000" w:themeColor="text1"/>
                <w:sz w:val="24"/>
                <w:szCs w:val="24"/>
                <w:lang w:val="pl-PL"/>
              </w:rPr>
              <w:br/>
              <w:t>Czarny osprzęt</w:t>
            </w:r>
          </w:p>
        </w:tc>
      </w:tr>
      <w:tr w:rsidR="0055541E" w:rsidRPr="00F4000D" w14:paraId="1E4022DE" w14:textId="77777777" w:rsidTr="005A0213">
        <w:trPr>
          <w:jc w:val="center"/>
        </w:trPr>
        <w:tc>
          <w:tcPr>
            <w:tcW w:w="606" w:type="dxa"/>
          </w:tcPr>
          <w:p w14:paraId="1C8A16ED"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13</w:t>
            </w:r>
          </w:p>
        </w:tc>
        <w:tc>
          <w:tcPr>
            <w:tcW w:w="3051" w:type="dxa"/>
          </w:tcPr>
          <w:p w14:paraId="789E4E72" w14:textId="77777777" w:rsidR="00372C08" w:rsidRPr="00F4000D" w:rsidRDefault="000B756A" w:rsidP="00826D2C">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Melodyczny instrument perkusyjny - dzwonki 27 tonowe, chromatyczne</w:t>
            </w:r>
          </w:p>
        </w:tc>
        <w:tc>
          <w:tcPr>
            <w:tcW w:w="871" w:type="dxa"/>
          </w:tcPr>
          <w:p w14:paraId="6C346F23" w14:textId="77777777" w:rsidR="00372C08" w:rsidRPr="00F4000D" w:rsidRDefault="000B756A" w:rsidP="00F4000D">
            <w:pPr>
              <w:jc w:val="both"/>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20</w:t>
            </w:r>
          </w:p>
        </w:tc>
        <w:tc>
          <w:tcPr>
            <w:tcW w:w="5167" w:type="dxa"/>
          </w:tcPr>
          <w:p w14:paraId="3BADA334" w14:textId="77777777" w:rsidR="001D5185"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Dzwonki chromatyczne 27-tonowe na drewnianej podstawie:</w:t>
            </w:r>
            <w:r w:rsidRPr="00F4000D">
              <w:rPr>
                <w:rFonts w:asciiTheme="majorHAnsi" w:hAnsiTheme="majorHAnsi" w:cstheme="majorHAnsi"/>
                <w:color w:val="000000" w:themeColor="text1"/>
                <w:sz w:val="24"/>
                <w:szCs w:val="24"/>
                <w:lang w:val="pl-PL"/>
              </w:rPr>
              <w:br/>
              <w:t>Parametry minimalne:</w:t>
            </w:r>
            <w:r w:rsidRPr="00F4000D">
              <w:rPr>
                <w:rFonts w:asciiTheme="majorHAnsi" w:hAnsiTheme="majorHAnsi" w:cstheme="majorHAnsi"/>
                <w:color w:val="000000" w:themeColor="text1"/>
                <w:sz w:val="24"/>
                <w:szCs w:val="24"/>
                <w:lang w:val="pl-PL"/>
              </w:rPr>
              <w:br/>
              <w:t>dzwonki 27 tonowe (2 oktawy)</w:t>
            </w:r>
            <w:r w:rsidRPr="00F4000D">
              <w:rPr>
                <w:rFonts w:asciiTheme="majorHAnsi" w:hAnsiTheme="majorHAnsi" w:cstheme="majorHAnsi"/>
                <w:color w:val="000000" w:themeColor="text1"/>
                <w:sz w:val="24"/>
                <w:szCs w:val="24"/>
                <w:lang w:val="pl-PL"/>
              </w:rPr>
              <w:br/>
              <w:t>tony: G2 - A4</w:t>
            </w:r>
            <w:r w:rsidRPr="00F4000D">
              <w:rPr>
                <w:rFonts w:asciiTheme="majorHAnsi" w:hAnsiTheme="majorHAnsi" w:cstheme="majorHAnsi"/>
                <w:color w:val="000000" w:themeColor="text1"/>
                <w:sz w:val="24"/>
                <w:szCs w:val="24"/>
                <w:lang w:val="pl-PL"/>
              </w:rPr>
              <w:br/>
              <w:t>metalowe nity mocujące</w:t>
            </w:r>
            <w:r w:rsidRPr="00F4000D">
              <w:rPr>
                <w:rFonts w:asciiTheme="majorHAnsi" w:hAnsiTheme="majorHAnsi" w:cstheme="majorHAnsi"/>
                <w:color w:val="000000" w:themeColor="text1"/>
                <w:sz w:val="24"/>
                <w:szCs w:val="24"/>
                <w:lang w:val="pl-PL"/>
              </w:rPr>
              <w:br/>
            </w:r>
            <w:r w:rsidRPr="00F4000D">
              <w:rPr>
                <w:rFonts w:asciiTheme="majorHAnsi" w:hAnsiTheme="majorHAnsi" w:cstheme="majorHAnsi"/>
                <w:color w:val="000000" w:themeColor="text1"/>
                <w:sz w:val="24"/>
                <w:szCs w:val="24"/>
                <w:lang w:val="pl-PL"/>
              </w:rPr>
              <w:lastRenderedPageBreak/>
              <w:t>metalowe blaszki</w:t>
            </w:r>
          </w:p>
          <w:p w14:paraId="329877FE" w14:textId="781794A0" w:rsidR="00372C08" w:rsidRPr="00F4000D" w:rsidRDefault="000B756A" w:rsidP="005A0213">
            <w:pPr>
              <w:rPr>
                <w:rFonts w:asciiTheme="majorHAnsi" w:hAnsiTheme="majorHAnsi" w:cstheme="majorHAnsi"/>
                <w:color w:val="000000" w:themeColor="text1"/>
                <w:sz w:val="24"/>
                <w:szCs w:val="24"/>
                <w:lang w:val="pl-PL"/>
              </w:rPr>
            </w:pPr>
            <w:r w:rsidRPr="00F4000D">
              <w:rPr>
                <w:rFonts w:asciiTheme="majorHAnsi" w:hAnsiTheme="majorHAnsi" w:cstheme="majorHAnsi"/>
                <w:color w:val="000000" w:themeColor="text1"/>
                <w:sz w:val="24"/>
                <w:szCs w:val="24"/>
                <w:lang w:val="pl-PL"/>
              </w:rPr>
              <w:t>grawerowane nazwy dźwięków na blaszkach</w:t>
            </w:r>
            <w:r w:rsidRPr="00F4000D">
              <w:rPr>
                <w:rFonts w:asciiTheme="majorHAnsi" w:hAnsiTheme="majorHAnsi" w:cstheme="majorHAnsi"/>
                <w:color w:val="000000" w:themeColor="text1"/>
                <w:sz w:val="24"/>
                <w:szCs w:val="24"/>
                <w:lang w:val="pl-PL"/>
              </w:rPr>
              <w:br/>
              <w:t>drewniana solidna podstawa</w:t>
            </w:r>
            <w:r w:rsidRPr="00F4000D">
              <w:rPr>
                <w:rFonts w:asciiTheme="majorHAnsi" w:hAnsiTheme="majorHAnsi" w:cstheme="majorHAnsi"/>
                <w:color w:val="000000" w:themeColor="text1"/>
                <w:sz w:val="24"/>
                <w:szCs w:val="24"/>
                <w:lang w:val="pl-PL"/>
              </w:rPr>
              <w:br/>
              <w:t>w komplecie dwie drewniane pałeczki</w:t>
            </w:r>
            <w:r w:rsidRPr="00F4000D">
              <w:rPr>
                <w:rFonts w:asciiTheme="majorHAnsi" w:hAnsiTheme="majorHAnsi" w:cstheme="majorHAnsi"/>
                <w:color w:val="000000" w:themeColor="text1"/>
                <w:sz w:val="24"/>
                <w:szCs w:val="24"/>
                <w:lang w:val="pl-PL"/>
              </w:rPr>
              <w:br/>
              <w:t>wymiary: 42 x 25 cm</w:t>
            </w:r>
          </w:p>
        </w:tc>
      </w:tr>
    </w:tbl>
    <w:p w14:paraId="46FAB0EC" w14:textId="03C32E91" w:rsidR="00372C08" w:rsidRPr="00F4000D" w:rsidRDefault="00372C08" w:rsidP="00F4000D">
      <w:pPr>
        <w:jc w:val="both"/>
        <w:rPr>
          <w:rFonts w:asciiTheme="majorHAnsi" w:hAnsiTheme="majorHAnsi" w:cstheme="majorHAnsi"/>
          <w:color w:val="000000" w:themeColor="text1"/>
          <w:sz w:val="24"/>
          <w:szCs w:val="24"/>
          <w:lang w:val="pl-PL"/>
        </w:rPr>
      </w:pPr>
    </w:p>
    <w:sectPr w:rsidR="00372C08" w:rsidRPr="00F4000D" w:rsidSect="00F4000D">
      <w:pgSz w:w="12240" w:h="15840"/>
      <w:pgMar w:top="1440" w:right="1183" w:bottom="144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num w:numId="1" w16cid:durableId="162935354">
    <w:abstractNumId w:val="8"/>
  </w:num>
  <w:num w:numId="2" w16cid:durableId="1831363890">
    <w:abstractNumId w:val="6"/>
  </w:num>
  <w:num w:numId="3" w16cid:durableId="1828355491">
    <w:abstractNumId w:val="5"/>
  </w:num>
  <w:num w:numId="4" w16cid:durableId="758715548">
    <w:abstractNumId w:val="4"/>
  </w:num>
  <w:num w:numId="5" w16cid:durableId="592476812">
    <w:abstractNumId w:val="7"/>
  </w:num>
  <w:num w:numId="6" w16cid:durableId="828325344">
    <w:abstractNumId w:val="3"/>
  </w:num>
  <w:num w:numId="7" w16cid:durableId="1141458267">
    <w:abstractNumId w:val="2"/>
  </w:num>
  <w:num w:numId="8" w16cid:durableId="1341077530">
    <w:abstractNumId w:val="1"/>
  </w:num>
  <w:num w:numId="9" w16cid:durableId="1681927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5E2A"/>
    <w:rsid w:val="00034616"/>
    <w:rsid w:val="0006063C"/>
    <w:rsid w:val="000B756A"/>
    <w:rsid w:val="000D46BA"/>
    <w:rsid w:val="00134AA1"/>
    <w:rsid w:val="0015074B"/>
    <w:rsid w:val="0019027F"/>
    <w:rsid w:val="001D5185"/>
    <w:rsid w:val="0021091B"/>
    <w:rsid w:val="002705B9"/>
    <w:rsid w:val="0029639D"/>
    <w:rsid w:val="0029725C"/>
    <w:rsid w:val="00326F90"/>
    <w:rsid w:val="00353603"/>
    <w:rsid w:val="00372C08"/>
    <w:rsid w:val="0055541E"/>
    <w:rsid w:val="005A0213"/>
    <w:rsid w:val="005F224C"/>
    <w:rsid w:val="006F7F7A"/>
    <w:rsid w:val="00826D2C"/>
    <w:rsid w:val="00926DF4"/>
    <w:rsid w:val="00982048"/>
    <w:rsid w:val="00982A29"/>
    <w:rsid w:val="009B363F"/>
    <w:rsid w:val="009D06D9"/>
    <w:rsid w:val="00AA1D8D"/>
    <w:rsid w:val="00AE4CB4"/>
    <w:rsid w:val="00B47730"/>
    <w:rsid w:val="00B515A0"/>
    <w:rsid w:val="00BE0385"/>
    <w:rsid w:val="00C36FA1"/>
    <w:rsid w:val="00CB0664"/>
    <w:rsid w:val="00CB1CC1"/>
    <w:rsid w:val="00F34201"/>
    <w:rsid w:val="00F4000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E0B372"/>
  <w14:defaultImageDpi w14:val="300"/>
  <w15:docId w15:val="{1F10BDF3-A743-6342-91EE-0526491C3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rPr>
      <w:rFonts w:ascii="Calibri" w:eastAsia="Calibri" w:hAnsi="Calibri"/>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45</Pages>
  <Words>10979</Words>
  <Characters>65878</Characters>
  <Application>Microsoft Office Word</Application>
  <DocSecurity>0</DocSecurity>
  <Lines>548</Lines>
  <Paragraphs>153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76704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Żaneta Lenart (Salwiczek)</cp:lastModifiedBy>
  <cp:revision>13</cp:revision>
  <dcterms:created xsi:type="dcterms:W3CDTF">2026-03-02T09:13:00Z</dcterms:created>
  <dcterms:modified xsi:type="dcterms:W3CDTF">2026-03-06T08:05:00Z</dcterms:modified>
  <cp:category/>
</cp:coreProperties>
</file>